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3E6FC" w14:textId="77777777" w:rsidR="002B2EDF" w:rsidRPr="007B3272" w:rsidRDefault="002B2EDF" w:rsidP="00EB361A">
      <w:pPr>
        <w:tabs>
          <w:tab w:val="left" w:pos="0"/>
        </w:tabs>
        <w:ind w:right="6237"/>
        <w:rPr>
          <w:rFonts w:ascii="Arial" w:hAnsi="Arial" w:cs="Arial"/>
          <w:sz w:val="22"/>
          <w:szCs w:val="22"/>
          <w:lang w:val="hr-HR"/>
        </w:rPr>
      </w:pPr>
    </w:p>
    <w:p w14:paraId="7CA13BF1" w14:textId="77777777" w:rsidR="009F20B8" w:rsidRPr="007B3272" w:rsidRDefault="003067F4" w:rsidP="00EB361A">
      <w:pPr>
        <w:tabs>
          <w:tab w:val="left" w:pos="0"/>
        </w:tabs>
        <w:ind w:right="6237"/>
        <w:rPr>
          <w:rFonts w:ascii="Arial" w:hAnsi="Arial" w:cs="Arial"/>
          <w:b/>
          <w:sz w:val="22"/>
          <w:szCs w:val="22"/>
          <w:lang w:val="hr-HR"/>
        </w:rPr>
      </w:pPr>
      <w:r w:rsidRPr="007B3272">
        <w:rPr>
          <w:rFonts w:ascii="Arial" w:hAnsi="Arial" w:cs="Arial"/>
          <w:sz w:val="22"/>
          <w:szCs w:val="22"/>
          <w:lang w:val="hr-HR"/>
        </w:rPr>
        <w:t xml:space="preserve">         </w:t>
      </w:r>
    </w:p>
    <w:p w14:paraId="50858A0E" w14:textId="6316527E" w:rsidR="00807AF8" w:rsidRPr="007B3272" w:rsidRDefault="00807AF8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lang w:val="hr-HR"/>
        </w:rPr>
      </w:pPr>
      <w:r w:rsidRPr="007B3272">
        <w:rPr>
          <w:rFonts w:ascii="Arial" w:hAnsi="Arial" w:cs="Arial"/>
          <w:b/>
          <w:bCs/>
          <w:sz w:val="22"/>
          <w:szCs w:val="22"/>
          <w:lang w:val="hr-HR"/>
        </w:rPr>
        <w:t>O</w:t>
      </w:r>
      <w:r w:rsidR="009F20B8" w:rsidRPr="007B3272">
        <w:rPr>
          <w:rFonts w:ascii="Arial" w:hAnsi="Arial" w:cs="Arial"/>
          <w:b/>
          <w:bCs/>
          <w:sz w:val="22"/>
          <w:szCs w:val="22"/>
          <w:lang w:val="hr-HR"/>
        </w:rPr>
        <w:t xml:space="preserve">brazloženje </w:t>
      </w:r>
      <w:r w:rsidR="00BA73DF" w:rsidRPr="007B3272">
        <w:rPr>
          <w:rFonts w:ascii="Arial" w:hAnsi="Arial" w:cs="Arial"/>
          <w:b/>
          <w:bCs/>
          <w:sz w:val="22"/>
          <w:szCs w:val="22"/>
          <w:lang w:val="hr-HR"/>
        </w:rPr>
        <w:t>I</w:t>
      </w:r>
      <w:r w:rsidR="002B1808">
        <w:rPr>
          <w:rFonts w:ascii="Arial" w:hAnsi="Arial" w:cs="Arial"/>
          <w:b/>
          <w:bCs/>
          <w:sz w:val="22"/>
          <w:szCs w:val="22"/>
          <w:lang w:val="hr-HR"/>
        </w:rPr>
        <w:t>I</w:t>
      </w:r>
      <w:r w:rsidR="00DD4B72" w:rsidRPr="007B3272">
        <w:rPr>
          <w:rFonts w:ascii="Arial" w:hAnsi="Arial" w:cs="Arial"/>
          <w:b/>
          <w:bCs/>
          <w:sz w:val="22"/>
          <w:szCs w:val="22"/>
          <w:lang w:val="hr-HR"/>
        </w:rPr>
        <w:t>.</w:t>
      </w:r>
      <w:r w:rsidR="009F20B8" w:rsidRPr="007B3272">
        <w:rPr>
          <w:rFonts w:ascii="Arial" w:hAnsi="Arial" w:cs="Arial"/>
          <w:b/>
          <w:bCs/>
          <w:sz w:val="22"/>
          <w:szCs w:val="22"/>
          <w:lang w:val="hr-HR"/>
        </w:rPr>
        <w:t xml:space="preserve"> izmjen</w:t>
      </w:r>
      <w:r w:rsidR="00897973">
        <w:rPr>
          <w:rFonts w:ascii="Arial" w:hAnsi="Arial" w:cs="Arial"/>
          <w:b/>
          <w:bCs/>
          <w:sz w:val="22"/>
          <w:szCs w:val="22"/>
          <w:lang w:val="hr-HR"/>
        </w:rPr>
        <w:t>e</w:t>
      </w:r>
      <w:r w:rsidR="009F20B8" w:rsidRPr="007B3272">
        <w:rPr>
          <w:rFonts w:ascii="Arial" w:hAnsi="Arial" w:cs="Arial"/>
          <w:b/>
          <w:bCs/>
          <w:sz w:val="22"/>
          <w:szCs w:val="22"/>
          <w:lang w:val="hr-HR"/>
        </w:rPr>
        <w:t xml:space="preserve"> i dopun</w:t>
      </w:r>
      <w:r w:rsidR="00897973">
        <w:rPr>
          <w:rFonts w:ascii="Arial" w:hAnsi="Arial" w:cs="Arial"/>
          <w:b/>
          <w:bCs/>
          <w:sz w:val="22"/>
          <w:szCs w:val="22"/>
          <w:lang w:val="hr-HR"/>
        </w:rPr>
        <w:t>e</w:t>
      </w:r>
      <w:r w:rsidR="009F20B8" w:rsidRPr="007B3272">
        <w:rPr>
          <w:rFonts w:ascii="Arial" w:hAnsi="Arial" w:cs="Arial"/>
          <w:b/>
          <w:bCs/>
          <w:sz w:val="22"/>
          <w:szCs w:val="22"/>
          <w:lang w:val="hr-HR"/>
        </w:rPr>
        <w:t xml:space="preserve"> Proračuna Dubrovačko-neretvanske županije za 20</w:t>
      </w:r>
      <w:r w:rsidR="00E853FA" w:rsidRPr="007B3272">
        <w:rPr>
          <w:rFonts w:ascii="Arial" w:hAnsi="Arial" w:cs="Arial"/>
          <w:b/>
          <w:bCs/>
          <w:sz w:val="22"/>
          <w:szCs w:val="22"/>
          <w:lang w:val="hr-HR"/>
        </w:rPr>
        <w:t>2</w:t>
      </w:r>
      <w:r w:rsidR="001F470C">
        <w:rPr>
          <w:rFonts w:ascii="Arial" w:hAnsi="Arial" w:cs="Arial"/>
          <w:b/>
          <w:bCs/>
          <w:sz w:val="22"/>
          <w:szCs w:val="22"/>
          <w:lang w:val="hr-HR"/>
        </w:rPr>
        <w:t>4</w:t>
      </w:r>
      <w:r w:rsidR="009F20B8" w:rsidRPr="007B3272">
        <w:rPr>
          <w:rFonts w:ascii="Arial" w:hAnsi="Arial" w:cs="Arial"/>
          <w:b/>
          <w:bCs/>
          <w:sz w:val="22"/>
          <w:szCs w:val="22"/>
          <w:lang w:val="hr-HR"/>
        </w:rPr>
        <w:t>. godinu</w:t>
      </w:r>
    </w:p>
    <w:p w14:paraId="2E0E1E84" w14:textId="77777777" w:rsidR="0084495B" w:rsidRPr="007B3272" w:rsidRDefault="009F20B8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>Razdjela 1</w:t>
      </w:r>
      <w:r w:rsidR="00C07C34"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>05</w:t>
      </w:r>
      <w:r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>- Upravn</w:t>
      </w:r>
      <w:r w:rsidR="001F470C">
        <w:rPr>
          <w:rFonts w:ascii="Arial" w:hAnsi="Arial" w:cs="Arial"/>
          <w:b/>
          <w:bCs/>
          <w:sz w:val="22"/>
          <w:szCs w:val="22"/>
          <w:u w:val="single"/>
          <w:lang w:val="hr-HR"/>
        </w:rPr>
        <w:t>i</w:t>
      </w:r>
      <w:r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odjel za</w:t>
      </w:r>
      <w:r w:rsidR="00D046E6"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</w:t>
      </w:r>
      <w:r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>zaštitu okoliša</w:t>
      </w:r>
      <w:r w:rsidR="00D23303"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i komunalne poslove</w:t>
      </w:r>
      <w:r w:rsidR="00EE4DD3"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, </w:t>
      </w:r>
    </w:p>
    <w:p w14:paraId="6EB58937" w14:textId="1C6A5276" w:rsidR="0084495B" w:rsidRPr="007B3272" w:rsidRDefault="00EE4DD3" w:rsidP="00807AF8">
      <w:pPr>
        <w:ind w:right="15"/>
        <w:jc w:val="center"/>
        <w:rPr>
          <w:rFonts w:ascii="Arial" w:hAnsi="Arial" w:cs="Arial"/>
          <w:b/>
          <w:bCs/>
          <w:sz w:val="22"/>
          <w:szCs w:val="22"/>
          <w:u w:val="single"/>
          <w:lang w:val="hr-HR"/>
        </w:rPr>
      </w:pPr>
      <w:r w:rsidRPr="007B3272">
        <w:rPr>
          <w:rFonts w:ascii="Arial" w:hAnsi="Arial" w:cs="Arial"/>
          <w:b/>
          <w:bCs/>
          <w:sz w:val="22"/>
          <w:szCs w:val="22"/>
          <w:u w:val="single"/>
          <w:lang w:val="hr-HR"/>
        </w:rPr>
        <w:t xml:space="preserve"> </w:t>
      </w:r>
    </w:p>
    <w:p w14:paraId="455DE5F6" w14:textId="77777777" w:rsidR="007462FA" w:rsidRPr="007B3272" w:rsidRDefault="007462FA" w:rsidP="00807AF8">
      <w:pPr>
        <w:ind w:left="993" w:right="15" w:hanging="993"/>
        <w:jc w:val="center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W w:w="10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80"/>
        <w:gridCol w:w="8098"/>
      </w:tblGrid>
      <w:tr w:rsidR="00A31AF4" w:rsidRPr="007B3272" w14:paraId="00CD4E4B" w14:textId="77777777" w:rsidTr="00AC6320">
        <w:trPr>
          <w:jc w:val="center"/>
        </w:trPr>
        <w:tc>
          <w:tcPr>
            <w:tcW w:w="10078" w:type="dxa"/>
            <w:gridSpan w:val="2"/>
            <w:shd w:val="clear" w:color="auto" w:fill="B8CCE4" w:themeFill="accent1" w:themeFillTint="66"/>
            <w:vAlign w:val="center"/>
          </w:tcPr>
          <w:p w14:paraId="3E4BE642" w14:textId="77777777" w:rsidR="00A31AF4" w:rsidRPr="007B3272" w:rsidRDefault="00A31AF4" w:rsidP="001F470C">
            <w:pPr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>GLAVA: 10501 ZAŠTITA OKOLIŠA I KOMUNALNI POSLOVI</w:t>
            </w:r>
          </w:p>
        </w:tc>
      </w:tr>
      <w:tr w:rsidR="00C07C34" w:rsidRPr="007B3272" w14:paraId="738460D6" w14:textId="77777777" w:rsidTr="00AC6320">
        <w:trPr>
          <w:jc w:val="center"/>
        </w:trPr>
        <w:tc>
          <w:tcPr>
            <w:tcW w:w="1980" w:type="dxa"/>
            <w:shd w:val="clear" w:color="auto" w:fill="B8CCE4" w:themeFill="accent1" w:themeFillTint="66"/>
            <w:vAlign w:val="center"/>
          </w:tcPr>
          <w:p w14:paraId="5F413E54" w14:textId="77777777" w:rsidR="00C07C34" w:rsidRPr="007B327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7B327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1500</w:t>
            </w:r>
          </w:p>
        </w:tc>
        <w:tc>
          <w:tcPr>
            <w:tcW w:w="8098" w:type="dxa"/>
            <w:shd w:val="clear" w:color="auto" w:fill="B8CCE4" w:themeFill="accent1" w:themeFillTint="66"/>
          </w:tcPr>
          <w:p w14:paraId="6501075D" w14:textId="77777777" w:rsidR="00C07C34" w:rsidRPr="007B3272" w:rsidRDefault="00480432" w:rsidP="00C66AD7">
            <w:pPr>
              <w:jc w:val="both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>Komunalna infrastruktura</w:t>
            </w:r>
            <w:r w:rsidR="007B3272"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</w:t>
            </w:r>
            <w:r w:rsidR="008E7A0B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AC6320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8E7A0B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FA2340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FA2340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+</w:t>
            </w:r>
            <w:r w:rsidR="00C66AD7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395.413,00</w:t>
            </w:r>
            <w:r w:rsidR="00990EA7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Eur</w:t>
            </w:r>
          </w:p>
        </w:tc>
      </w:tr>
      <w:tr w:rsidR="006D1807" w:rsidRPr="007B3272" w14:paraId="3819505C" w14:textId="77777777" w:rsidTr="00AC6320">
        <w:trPr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  <w:hideMark/>
          </w:tcPr>
          <w:p w14:paraId="3883DAB8" w14:textId="77777777" w:rsidR="006D1807" w:rsidRPr="007B3272" w:rsidRDefault="001F470C" w:rsidP="001F470C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Aktivnost A</w:t>
            </w:r>
            <w:r w:rsidR="006D1807" w:rsidRPr="007B327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15000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7</w:t>
            </w:r>
          </w:p>
        </w:tc>
        <w:tc>
          <w:tcPr>
            <w:tcW w:w="8098" w:type="dxa"/>
            <w:shd w:val="clear" w:color="auto" w:fill="D9D9D9" w:themeFill="background1" w:themeFillShade="D9"/>
          </w:tcPr>
          <w:p w14:paraId="356A8AC1" w14:textId="77777777" w:rsidR="007B3272" w:rsidRPr="007B3272" w:rsidRDefault="001F470C" w:rsidP="00347D41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Poticanje otočnog javnog cestovnog prijevoza</w:t>
            </w:r>
          </w:p>
          <w:p w14:paraId="5359D3A5" w14:textId="77777777" w:rsidR="006D1807" w:rsidRPr="00FB2C11" w:rsidRDefault="006D1807" w:rsidP="00C66AD7">
            <w:pPr>
              <w:jc w:val="both"/>
              <w:rPr>
                <w:rFonts w:ascii="Arial" w:eastAsiaTheme="minorHAnsi" w:hAnsi="Arial" w:cs="Arial"/>
                <w:b/>
                <w:color w:val="FF0000"/>
                <w:sz w:val="22"/>
                <w:szCs w:val="22"/>
                <w:u w:val="single"/>
                <w:lang w:val="hr-HR"/>
              </w:rPr>
            </w:pPr>
            <w:r w:rsidRPr="007B3272">
              <w:rPr>
                <w:rFonts w:ascii="Arial" w:eastAsiaTheme="minorHAnsi" w:hAnsi="Arial" w:cs="Arial"/>
                <w:b/>
                <w:sz w:val="22"/>
                <w:szCs w:val="22"/>
                <w:lang w:val="hr-HR"/>
              </w:rPr>
              <w:t xml:space="preserve">    </w:t>
            </w:r>
            <w:r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                                     </w:t>
            </w:r>
            <w:r w:rsidR="008B7250"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</w:t>
            </w:r>
            <w:r w:rsidR="007B3272"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</w:t>
            </w:r>
            <w:r w:rsidR="008215FE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AC6320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7B3272" w:rsidRPr="007B3272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</w:t>
            </w:r>
            <w:r w:rsidR="001F470C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+</w:t>
            </w:r>
            <w:r w:rsidR="00C66AD7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395.413,00 </w:t>
            </w:r>
            <w:r w:rsidR="00990EA7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Eur</w:t>
            </w:r>
          </w:p>
        </w:tc>
      </w:tr>
      <w:tr w:rsidR="006D1807" w:rsidRPr="007B3272" w14:paraId="2D49DBE8" w14:textId="77777777" w:rsidTr="00AC6320">
        <w:trPr>
          <w:jc w:val="center"/>
        </w:trPr>
        <w:tc>
          <w:tcPr>
            <w:tcW w:w="1980" w:type="dxa"/>
            <w:shd w:val="clear" w:color="auto" w:fill="FFFFFF"/>
            <w:hideMark/>
          </w:tcPr>
          <w:p w14:paraId="3E2CB715" w14:textId="77777777" w:rsidR="006D1807" w:rsidRPr="00BF05EF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BF05EF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8098" w:type="dxa"/>
            <w:shd w:val="clear" w:color="auto" w:fill="FFFFFF"/>
            <w:hideMark/>
          </w:tcPr>
          <w:p w14:paraId="54787C6A" w14:textId="77777777" w:rsidR="006D1807" w:rsidRPr="00BF05EF" w:rsidRDefault="00FB2C11" w:rsidP="00C66AD7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Sukladno Pravilniku</w:t>
            </w:r>
            <w:r w:rsidR="0076407D">
              <w:rPr>
                <w:rFonts w:ascii="Arial" w:hAnsi="Arial" w:cs="Arial"/>
                <w:sz w:val="22"/>
                <w:szCs w:val="22"/>
                <w:lang w:val="hr-HR"/>
              </w:rPr>
              <w:t xml:space="preserve"> o načinu </w:t>
            </w:r>
            <w:r w:rsidR="00C66AD7">
              <w:rPr>
                <w:rFonts w:ascii="Arial" w:hAnsi="Arial" w:cs="Arial"/>
                <w:sz w:val="22"/>
                <w:szCs w:val="22"/>
                <w:lang w:val="hr-HR"/>
              </w:rPr>
              <w:t>ostvarivanja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 prava na besplatan javni otočni prijevoz, </w:t>
            </w:r>
            <w:r w:rsidR="00C66AD7">
              <w:rPr>
                <w:rFonts w:ascii="Arial" w:hAnsi="Arial" w:cs="Arial"/>
                <w:sz w:val="22"/>
                <w:szCs w:val="22"/>
                <w:lang w:val="hr-HR"/>
              </w:rPr>
              <w:t>osigurana su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  <w:r w:rsidR="00AC6320">
              <w:rPr>
                <w:rFonts w:ascii="Arial" w:hAnsi="Arial" w:cs="Arial"/>
                <w:sz w:val="22"/>
                <w:szCs w:val="22"/>
                <w:lang w:val="hr-HR"/>
              </w:rPr>
              <w:t>dodatna sredstva</w:t>
            </w:r>
            <w:r w:rsidR="00C66AD7">
              <w:rPr>
                <w:rFonts w:ascii="Arial" w:hAnsi="Arial" w:cs="Arial"/>
                <w:sz w:val="22"/>
                <w:szCs w:val="22"/>
                <w:lang w:val="hr-HR"/>
              </w:rPr>
              <w:t xml:space="preserve"> od Ministarstva mora, prometa i infrastrukture kojima 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 će se nadoknađivati troškovi besplatnog prijevoza za korisnike kojima se izdaju pokazi.  </w:t>
            </w:r>
          </w:p>
        </w:tc>
      </w:tr>
      <w:tr w:rsidR="006D1807" w:rsidRPr="007B3272" w14:paraId="1AC841AC" w14:textId="77777777" w:rsidTr="00AC6320">
        <w:trPr>
          <w:jc w:val="center"/>
        </w:trPr>
        <w:tc>
          <w:tcPr>
            <w:tcW w:w="1980" w:type="dxa"/>
            <w:shd w:val="clear" w:color="auto" w:fill="FFFFFF"/>
          </w:tcPr>
          <w:p w14:paraId="05860E41" w14:textId="77777777" w:rsidR="006D1807" w:rsidRPr="00BF05EF" w:rsidRDefault="006D1807" w:rsidP="00347D4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bookmarkStart w:id="0" w:name="_Hlk120782303"/>
            <w:r w:rsidRPr="00BF05EF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8098" w:type="dxa"/>
            <w:shd w:val="clear" w:color="auto" w:fill="FFFFFF"/>
          </w:tcPr>
          <w:p w14:paraId="02DD8538" w14:textId="77777777" w:rsidR="006D1807" w:rsidRPr="00C66AD7" w:rsidRDefault="006D1807" w:rsidP="00347D41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C66AD7">
              <w:rPr>
                <w:rFonts w:ascii="Arial" w:hAnsi="Arial" w:cs="Arial"/>
                <w:sz w:val="22"/>
                <w:szCs w:val="22"/>
                <w:lang w:val="hr-HR"/>
              </w:rPr>
              <w:t xml:space="preserve">Izvor 1.1.1 – Opći prihodi i primici </w:t>
            </w:r>
            <w:r w:rsidR="00C66AD7" w:rsidRPr="00C66AD7">
              <w:rPr>
                <w:rFonts w:ascii="Arial" w:hAnsi="Arial" w:cs="Arial"/>
                <w:sz w:val="22"/>
                <w:szCs w:val="22"/>
                <w:lang w:val="hr-HR"/>
              </w:rPr>
              <w:t>(-10.000,00 Eur)</w:t>
            </w:r>
          </w:p>
          <w:p w14:paraId="074C7244" w14:textId="77777777" w:rsidR="00C66AD7" w:rsidRPr="00BF05EF" w:rsidRDefault="00C66AD7" w:rsidP="00347D41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C66AD7">
              <w:rPr>
                <w:rFonts w:ascii="Arial" w:hAnsi="Arial" w:cs="Arial"/>
                <w:sz w:val="22"/>
                <w:szCs w:val="22"/>
                <w:lang w:val="hr-HR"/>
              </w:rPr>
              <w:t>Izvor 5.2.1 – Ostale pomoći (+405.413,00 eur)</w:t>
            </w:r>
          </w:p>
        </w:tc>
      </w:tr>
      <w:bookmarkEnd w:id="0"/>
      <w:tr w:rsidR="00C07C34" w:rsidRPr="007B3272" w14:paraId="7AF4EBD0" w14:textId="77777777" w:rsidTr="00AC6320">
        <w:trPr>
          <w:jc w:val="center"/>
        </w:trPr>
        <w:tc>
          <w:tcPr>
            <w:tcW w:w="1980" w:type="dxa"/>
            <w:shd w:val="clear" w:color="auto" w:fill="B8CCE4" w:themeFill="accent1" w:themeFillTint="66"/>
            <w:vAlign w:val="center"/>
          </w:tcPr>
          <w:p w14:paraId="0F8C18FA" w14:textId="77777777" w:rsidR="00C07C34" w:rsidRPr="007B3272" w:rsidRDefault="00C07C34" w:rsidP="006175C9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7B327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Program 150</w:t>
            </w:r>
            <w:r w:rsidR="00E00A7F" w:rsidRPr="007B3272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</w:t>
            </w:r>
          </w:p>
        </w:tc>
        <w:tc>
          <w:tcPr>
            <w:tcW w:w="8098" w:type="dxa"/>
            <w:shd w:val="clear" w:color="auto" w:fill="B8CCE4" w:themeFill="accent1" w:themeFillTint="66"/>
          </w:tcPr>
          <w:p w14:paraId="0CA6ED94" w14:textId="77777777" w:rsidR="00C07C34" w:rsidRPr="007B3272" w:rsidRDefault="00E00A7F" w:rsidP="00DC05D8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>Unapređenje zaštite okoliša i prirode</w:t>
            </w:r>
            <w:r w:rsidR="004F5734"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                      </w:t>
            </w:r>
            <w:r w:rsidR="00575534" w:rsidRPr="007B3272">
              <w:rPr>
                <w:rFonts w:ascii="Arial" w:hAnsi="Arial" w:cs="Arial"/>
                <w:b/>
                <w:sz w:val="22"/>
                <w:szCs w:val="22"/>
                <w:lang w:val="hr-HR"/>
              </w:rPr>
              <w:t xml:space="preserve">   </w:t>
            </w:r>
            <w:r w:rsidR="004F5734" w:rsidRPr="007B3272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 </w:t>
            </w:r>
            <w:r w:rsidR="008E7A0B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 </w:t>
            </w:r>
            <w:r w:rsidR="00990EA7" w:rsidRPr="00C66AD7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</w:t>
            </w:r>
            <w:r w:rsidR="00DC05D8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-330.777</w:t>
            </w:r>
            <w:r w:rsidR="00793F96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,00 Eur</w:t>
            </w:r>
          </w:p>
        </w:tc>
      </w:tr>
      <w:tr w:rsidR="0076407D" w:rsidRPr="007B3272" w14:paraId="0EAFAFB8" w14:textId="77777777" w:rsidTr="00AC6320">
        <w:trPr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1079718" w14:textId="77777777" w:rsidR="0076407D" w:rsidRPr="008C261C" w:rsidRDefault="0076407D" w:rsidP="00FA2340">
            <w:pPr>
              <w:jc w:val="right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Kapitalni projekt</w:t>
            </w:r>
            <w:r w:rsidRPr="008C261C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 xml:space="preserve">  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K</w:t>
            </w:r>
            <w:r w:rsidRPr="008C261C"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15010</w:t>
            </w: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8</w:t>
            </w:r>
          </w:p>
        </w:tc>
        <w:tc>
          <w:tcPr>
            <w:tcW w:w="8098" w:type="dxa"/>
            <w:shd w:val="clear" w:color="auto" w:fill="D9D9D9" w:themeFill="background1" w:themeFillShade="D9"/>
          </w:tcPr>
          <w:p w14:paraId="3B3C2DA4" w14:textId="77777777" w:rsidR="0076407D" w:rsidRPr="008C261C" w:rsidRDefault="0076407D" w:rsidP="00793F96">
            <w:pPr>
              <w:jc w:val="both"/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</w:pPr>
            <w:r>
              <w:rPr>
                <w:rFonts w:ascii="Arial" w:eastAsiaTheme="minorHAnsi" w:hAnsi="Arial" w:cs="Arial"/>
                <w:b/>
                <w:sz w:val="22"/>
                <w:szCs w:val="22"/>
                <w:u w:val="single"/>
                <w:lang w:val="hr-HR"/>
              </w:rPr>
              <w:t>Hortikulturno uređenje  zelenih površina</w:t>
            </w:r>
            <w:r w:rsidRPr="008C261C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                      </w:t>
            </w:r>
            <w:r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     </w:t>
            </w:r>
            <w:r w:rsidR="00AC6320">
              <w:rPr>
                <w:rFonts w:ascii="Arial" w:hAnsi="Arial" w:cs="Arial"/>
                <w:b/>
                <w:color w:val="0070C0"/>
                <w:sz w:val="22"/>
                <w:szCs w:val="22"/>
                <w:lang w:val="hr-HR"/>
              </w:rPr>
              <w:t xml:space="preserve"> </w:t>
            </w:r>
            <w:r w:rsidR="00AC6320" w:rsidRPr="00081B75">
              <w:rPr>
                <w:rFonts w:ascii="Arial" w:hAnsi="Arial" w:cs="Arial"/>
                <w:b/>
                <w:sz w:val="22"/>
                <w:szCs w:val="22"/>
                <w:lang w:val="hr-HR"/>
              </w:rPr>
              <w:t>-211.000,00</w:t>
            </w:r>
            <w:r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Eur</w:t>
            </w:r>
          </w:p>
        </w:tc>
      </w:tr>
      <w:tr w:rsidR="0076407D" w:rsidRPr="007B3272" w14:paraId="197DC641" w14:textId="77777777" w:rsidTr="00AC6320">
        <w:trPr>
          <w:jc w:val="center"/>
        </w:trPr>
        <w:tc>
          <w:tcPr>
            <w:tcW w:w="1980" w:type="dxa"/>
            <w:shd w:val="clear" w:color="auto" w:fill="FFFFFF"/>
            <w:hideMark/>
          </w:tcPr>
          <w:p w14:paraId="04F4CFBC" w14:textId="77777777" w:rsidR="0076407D" w:rsidRPr="008C261C" w:rsidRDefault="0076407D" w:rsidP="004C797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8098" w:type="dxa"/>
            <w:shd w:val="clear" w:color="auto" w:fill="FFFFFF"/>
          </w:tcPr>
          <w:p w14:paraId="3ED20104" w14:textId="77777777" w:rsidR="0076407D" w:rsidRPr="008C261C" w:rsidRDefault="0076407D" w:rsidP="004C7970">
            <w:pPr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Sredstva su </w:t>
            </w:r>
            <w:r w:rsidR="00AC6320">
              <w:rPr>
                <w:rFonts w:ascii="Arial" w:hAnsi="Arial" w:cs="Arial"/>
                <w:sz w:val="22"/>
                <w:szCs w:val="22"/>
                <w:lang w:val="hr-HR"/>
              </w:rPr>
              <w:t>umanjena zbog usklađenja s dinamikom provedbe građevinskih radova i drugih aktivnosti u projektu.</w:t>
            </w:r>
          </w:p>
        </w:tc>
      </w:tr>
      <w:tr w:rsidR="0076407D" w:rsidRPr="007B3272" w14:paraId="183BE9E6" w14:textId="77777777" w:rsidTr="00AC6320">
        <w:trPr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FFFFFF"/>
          </w:tcPr>
          <w:p w14:paraId="092B7040" w14:textId="77777777" w:rsidR="0076407D" w:rsidRPr="008C261C" w:rsidRDefault="0076407D" w:rsidP="004C797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8098" w:type="dxa"/>
            <w:tcBorders>
              <w:bottom w:val="single" w:sz="4" w:space="0" w:color="auto"/>
            </w:tcBorders>
            <w:shd w:val="clear" w:color="auto" w:fill="FFFFFF"/>
          </w:tcPr>
          <w:p w14:paraId="627E0969" w14:textId="77777777" w:rsidR="0076407D" w:rsidRPr="008C261C" w:rsidRDefault="0076407D" w:rsidP="004C7970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sz w:val="22"/>
                <w:szCs w:val="22"/>
                <w:lang w:val="hr-HR"/>
              </w:rPr>
              <w:t>Izvor 1.1.1 – Opći prihodi i primici</w:t>
            </w:r>
            <w:r w:rsidR="00AC6320">
              <w:rPr>
                <w:rFonts w:ascii="Arial" w:hAnsi="Arial" w:cs="Arial"/>
                <w:sz w:val="22"/>
                <w:szCs w:val="22"/>
                <w:lang w:val="hr-HR"/>
              </w:rPr>
              <w:t xml:space="preserve"> (-55.000,00 Eur) i Izvor 5.2.1 – Ostale pomoći (-156.000,00 Eur) </w:t>
            </w:r>
          </w:p>
        </w:tc>
      </w:tr>
      <w:tr w:rsidR="0076407D" w:rsidRPr="008C261C" w14:paraId="7073BADF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88CD7B" w14:textId="77777777" w:rsidR="0076407D" w:rsidRPr="008C261C" w:rsidRDefault="0076407D" w:rsidP="00FA2340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Kapitalni projekt  K150109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3FD8FA" w14:textId="77777777" w:rsidR="0076407D" w:rsidRPr="008C261C" w:rsidRDefault="0076407D" w:rsidP="00DC05D8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Uređenje staze Podvlaštica - Vlaštica</w:t>
            </w:r>
            <w:r w:rsidRPr="008C261C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                                   </w:t>
            </w:r>
            <w:r w:rsidR="00AC6320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-28.</w:t>
            </w:r>
            <w:r w:rsidR="00DC05D8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515</w:t>
            </w:r>
            <w:r w:rsidR="00AC6320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,00</w:t>
            </w:r>
            <w:r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Eur</w:t>
            </w:r>
          </w:p>
        </w:tc>
      </w:tr>
      <w:tr w:rsidR="0076407D" w:rsidRPr="008C261C" w14:paraId="6DAB4955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4E4DD" w14:textId="77777777" w:rsidR="0076407D" w:rsidRPr="008C261C" w:rsidRDefault="0076407D" w:rsidP="00AF032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CC2D5" w14:textId="77777777" w:rsidR="0076407D" w:rsidRPr="008C261C" w:rsidRDefault="00AC6320" w:rsidP="00AF0325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Sredstva se umanjuju budući da su projektne aktivnosti okončane</w:t>
            </w:r>
            <w:r w:rsidR="00C66AD7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</w:p>
        </w:tc>
      </w:tr>
      <w:tr w:rsidR="0076407D" w:rsidRPr="008C261C" w14:paraId="3FAA701F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9278E" w14:textId="77777777" w:rsidR="0076407D" w:rsidRPr="008C261C" w:rsidRDefault="0076407D" w:rsidP="00AF032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F5F28" w14:textId="77777777" w:rsidR="0076407D" w:rsidRDefault="0076407D" w:rsidP="00B525F1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sz w:val="22"/>
                <w:szCs w:val="22"/>
                <w:lang w:val="hr-HR"/>
              </w:rPr>
              <w:t xml:space="preserve">Izvor 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>5</w:t>
            </w:r>
            <w:r w:rsidRPr="008C261C">
              <w:rPr>
                <w:rFonts w:ascii="Arial" w:hAnsi="Arial" w:cs="Arial"/>
                <w:sz w:val="22"/>
                <w:szCs w:val="22"/>
                <w:lang w:val="hr-HR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>2</w:t>
            </w:r>
            <w:r w:rsidRPr="008C261C">
              <w:rPr>
                <w:rFonts w:ascii="Arial" w:hAnsi="Arial" w:cs="Arial"/>
                <w:sz w:val="22"/>
                <w:szCs w:val="22"/>
                <w:lang w:val="hr-HR"/>
              </w:rPr>
              <w:t xml:space="preserve">.1 – 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>Ostale pomoći</w:t>
            </w:r>
          </w:p>
          <w:p w14:paraId="3C5262F0" w14:textId="77777777" w:rsidR="0076407D" w:rsidRPr="008C261C" w:rsidRDefault="0076407D" w:rsidP="00B525F1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76407D" w:rsidRPr="008C261C" w14:paraId="23291887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C346D" w14:textId="77777777" w:rsidR="0076407D" w:rsidRPr="008C261C" w:rsidRDefault="0076407D" w:rsidP="00B525F1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hr-HR"/>
              </w:rPr>
              <w:t>Kapitalni projekt  K150110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3E0EF" w14:textId="77777777" w:rsidR="0076407D" w:rsidRPr="008C261C" w:rsidRDefault="0076407D" w:rsidP="00B525F1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Ozelenjavanje javnih površina</w:t>
            </w:r>
            <w:r w:rsidRPr="008C261C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                         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      </w:t>
            </w:r>
            <w:r w:rsidRPr="008C261C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 </w:t>
            </w:r>
            <w:r w:rsidR="00AC6320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 xml:space="preserve">            </w:t>
            </w:r>
            <w:r w:rsidR="00AC6320"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-</w:t>
            </w:r>
            <w:r w:rsidRPr="00081B75">
              <w:rPr>
                <w:rFonts w:ascii="Arial" w:hAnsi="Arial" w:cs="Arial"/>
                <w:b/>
                <w:sz w:val="22"/>
                <w:szCs w:val="22"/>
                <w:u w:val="single"/>
                <w:lang w:val="hr-HR"/>
              </w:rPr>
              <w:t>91.262,00 Eur</w:t>
            </w:r>
          </w:p>
        </w:tc>
      </w:tr>
      <w:tr w:rsidR="0076407D" w:rsidRPr="008C261C" w14:paraId="3CA1CC7E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B580" w14:textId="77777777" w:rsidR="0076407D" w:rsidRPr="008C261C" w:rsidRDefault="0076407D" w:rsidP="00AF032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Obrazloženje: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5F420" w14:textId="77777777" w:rsidR="0076407D" w:rsidRPr="007B6454" w:rsidRDefault="00793F96" w:rsidP="007B6454">
            <w:pPr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  <w:lang w:val="hr-HR"/>
              </w:rPr>
              <w:t>Aktivnosti na provedbi</w:t>
            </w:r>
            <w:r w:rsidR="0076407D" w:rsidRPr="007B6454">
              <w:rPr>
                <w:rFonts w:ascii="Arial" w:hAnsi="Arial" w:cs="Arial"/>
                <w:sz w:val="22"/>
                <w:szCs w:val="22"/>
                <w:lang w:val="hr-HR"/>
              </w:rPr>
              <w:t xml:space="preserve"> projekt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>a</w:t>
            </w:r>
            <w:r w:rsidR="0076407D" w:rsidRPr="007B6454">
              <w:rPr>
                <w:rFonts w:ascii="Arial" w:hAnsi="Arial" w:cs="Arial"/>
                <w:sz w:val="22"/>
                <w:szCs w:val="22"/>
                <w:lang w:val="hr-HR"/>
              </w:rPr>
              <w:t xml:space="preserve">, a odnosi se na </w:t>
            </w:r>
            <w:r w:rsidR="0076407D">
              <w:rPr>
                <w:rFonts w:ascii="Arial" w:hAnsi="Arial" w:cs="Arial"/>
                <w:sz w:val="22"/>
                <w:szCs w:val="22"/>
                <w:lang w:val="hr-HR"/>
              </w:rPr>
              <w:t>ozelenjavanje javnih površina na području Općine Dubrovačko primorje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>, još nisu provedene te se proračun umanjuje za ukupan planirani iznos za 2024.</w:t>
            </w:r>
            <w:r w:rsidR="002B1808">
              <w:rPr>
                <w:rFonts w:ascii="Arial" w:hAnsi="Arial" w:cs="Arial"/>
                <w:sz w:val="22"/>
                <w:szCs w:val="22"/>
                <w:lang w:val="hr-HR"/>
              </w:rPr>
              <w:t>, sredstva za aktivnosti se prenose u proračun 2025.</w:t>
            </w:r>
          </w:p>
          <w:p w14:paraId="3A933695" w14:textId="77777777" w:rsidR="0076407D" w:rsidRPr="008C261C" w:rsidRDefault="0076407D" w:rsidP="00FB0896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</w:p>
        </w:tc>
      </w:tr>
      <w:tr w:rsidR="0076407D" w:rsidRPr="008C261C" w14:paraId="412E28DD" w14:textId="77777777" w:rsidTr="00AC6320">
        <w:trPr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ED9DD" w14:textId="77777777" w:rsidR="0076407D" w:rsidRPr="008C261C" w:rsidRDefault="0076407D" w:rsidP="00AF0325">
            <w:pPr>
              <w:jc w:val="right"/>
              <w:rPr>
                <w:rFonts w:ascii="Arial" w:hAnsi="Arial" w:cs="Arial"/>
                <w:b/>
                <w:sz w:val="22"/>
                <w:szCs w:val="22"/>
                <w:lang w:val="hr-HR"/>
              </w:rPr>
            </w:pPr>
            <w:r w:rsidRPr="008C261C">
              <w:rPr>
                <w:rFonts w:ascii="Arial" w:hAnsi="Arial" w:cs="Arial"/>
                <w:b/>
                <w:sz w:val="22"/>
                <w:szCs w:val="22"/>
                <w:lang w:val="hr-HR"/>
              </w:rPr>
              <w:t>Izvori financiranja</w:t>
            </w:r>
          </w:p>
        </w:tc>
        <w:tc>
          <w:tcPr>
            <w:tcW w:w="8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8AFD3" w14:textId="77777777" w:rsidR="0076407D" w:rsidRPr="00B91750" w:rsidRDefault="0076407D" w:rsidP="00B525F1">
            <w:pPr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B91750">
              <w:rPr>
                <w:rFonts w:ascii="Arial" w:hAnsi="Arial" w:cs="Arial"/>
                <w:sz w:val="22"/>
                <w:szCs w:val="22"/>
                <w:lang w:val="hr-HR"/>
              </w:rPr>
              <w:t>Izvor 5.2.1 – Ostale pomoći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 </w:t>
            </w:r>
          </w:p>
        </w:tc>
      </w:tr>
    </w:tbl>
    <w:p w14:paraId="22E27FD4" w14:textId="77777777" w:rsidR="00C07C34" w:rsidRDefault="00C07C34" w:rsidP="00896D40">
      <w:pPr>
        <w:rPr>
          <w:rFonts w:ascii="Arial" w:hAnsi="Arial" w:cs="Arial"/>
          <w:color w:val="A6A6A6" w:themeColor="background1" w:themeShade="A6"/>
          <w:sz w:val="22"/>
          <w:szCs w:val="22"/>
          <w:lang w:val="hr-HR"/>
        </w:rPr>
      </w:pPr>
    </w:p>
    <w:p w14:paraId="69D75299" w14:textId="77777777" w:rsidR="00DB066D" w:rsidRDefault="00DB066D" w:rsidP="00896D40">
      <w:pPr>
        <w:rPr>
          <w:rFonts w:ascii="Arial" w:hAnsi="Arial" w:cs="Arial"/>
          <w:color w:val="A6A6A6" w:themeColor="background1" w:themeShade="A6"/>
          <w:sz w:val="22"/>
          <w:szCs w:val="22"/>
          <w:lang w:val="hr-HR"/>
        </w:rPr>
      </w:pPr>
    </w:p>
    <w:p w14:paraId="59D33FF8" w14:textId="77777777" w:rsidR="00DB066D" w:rsidRDefault="00DB066D" w:rsidP="00DB066D">
      <w:pPr>
        <w:pStyle w:val="Standard"/>
        <w:tabs>
          <w:tab w:val="left" w:pos="0"/>
        </w:tabs>
        <w:ind w:right="6237"/>
      </w:pPr>
      <w:r>
        <w:rPr>
          <w:rFonts w:ascii="Arial" w:hAnsi="Arial" w:cs="Arial"/>
          <w:sz w:val="22"/>
          <w:szCs w:val="22"/>
          <w:lang w:val="hr-HR"/>
        </w:rPr>
        <w:t xml:space="preserve">         </w:t>
      </w:r>
    </w:p>
    <w:p w14:paraId="66D9A8BC" w14:textId="77777777" w:rsidR="00DB066D" w:rsidRDefault="00DB066D" w:rsidP="00DB066D">
      <w:pPr>
        <w:pStyle w:val="Standard"/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Bookmark"/>
    </w:p>
    <w:tbl>
      <w:tblPr>
        <w:tblW w:w="1034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3"/>
        <w:gridCol w:w="6495"/>
      </w:tblGrid>
      <w:tr w:rsidR="00DB066D" w14:paraId="3CC7F2A7" w14:textId="77777777" w:rsidTr="00DB066D">
        <w:tc>
          <w:tcPr>
            <w:tcW w:w="103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p w14:paraId="7BA67AF5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GLAVA: 10502 JAVNA USTANOVA ZA UPRAVLJANJE ZAŠTIĆENIM DIJELOVIMA PRIRODE DUBROVAČKO-NERETVANSKE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ŽUPANIJE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  <w:u w:val="single"/>
              </w:rPr>
              <w:t>-324.300,00 EUR</w:t>
            </w:r>
          </w:p>
        </w:tc>
      </w:tr>
      <w:tr w:rsidR="00DB066D" w14:paraId="2FF38C62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CF00" w14:textId="77777777" w:rsidR="00DB066D" w:rsidRDefault="00DB066D" w:rsidP="00695E12">
            <w:pPr>
              <w:pStyle w:val="Standard"/>
              <w:jc w:val="both"/>
            </w:pPr>
            <w:bookmarkStart w:id="2" w:name="Bookmark1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Program 1503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62723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Redovna djelatnost Javna ustanova za upravljanje zaštićenim dijelovima prirode DNŽ                                                                                                            </w:t>
            </w:r>
          </w:p>
          <w:p w14:paraId="5BC85862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  <w:u w:val="single"/>
              </w:rPr>
              <w:t>-91.150 EUR</w:t>
            </w:r>
          </w:p>
        </w:tc>
      </w:tr>
      <w:tr w:rsidR="00DB066D" w14:paraId="059046FB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D4AD8" w14:textId="77777777" w:rsidR="00DB066D" w:rsidRDefault="00DB066D" w:rsidP="00695E12">
            <w:pPr>
              <w:pStyle w:val="Standard"/>
              <w:jc w:val="right"/>
            </w:pPr>
            <w:bookmarkStart w:id="3" w:name="_Hlk135907721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Aktivnost 150301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CFFA1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Redovno poslovanje Javna ustanova za upravljanje zaštićenim dijelovima prirode DNŽ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</w:t>
            </w:r>
          </w:p>
          <w:p w14:paraId="60B7C869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+1.300,00 EUR</w:t>
            </w:r>
          </w:p>
        </w:tc>
      </w:tr>
      <w:tr w:rsidR="00DB066D" w14:paraId="14E4E9DB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FAEB4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DE69E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za provođenje aktivnosti Redovnog poslovanja Javne ustanove su neznatno povećani, te je izvršena preraspodjela inicijano planiranih vrsta rashoda u okviru aktivnosti. Sredstva planirana za nabavu dugotrajne imovine su umanjena budući su ista osigurana kroz projekte sufinancirane sredstvima Europske unije.</w:t>
            </w:r>
          </w:p>
        </w:tc>
      </w:tr>
      <w:tr w:rsidR="00DB066D" w14:paraId="1EEBE864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C41B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C412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</w:t>
            </w:r>
          </w:p>
        </w:tc>
      </w:tr>
      <w:bookmarkEnd w:id="3"/>
      <w:tr w:rsidR="00DB066D" w14:paraId="0A7C7BAB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F15EC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8F785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6AEC5974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0F422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Aktivnost A150302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2B238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Provođenje mjera zaštite od požara-zaštićena područja i područja ekološke mreže Natura 2000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</w:p>
          <w:p w14:paraId="013BB71C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-21.450,00 EUR</w:t>
            </w:r>
          </w:p>
        </w:tc>
      </w:tr>
      <w:tr w:rsidR="00DB066D" w14:paraId="4E3B677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09E66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533F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Ukupni rashodi za provođenje preventivnih mjera zaštite od požara u zaštićenim područjima i područjima ekološke mreže Natura 2000 u okviru redovne djelatnosti Javne ustanove su umanjeni te je značajan dio rashoda planiranih za nabavu dugotrajne imovine kao i ostalih nespomenutih rashoda poslovanja umanjen budući su ista osigurana kroz projekte sufinancirane sredstvima Europske unije.</w:t>
            </w:r>
          </w:p>
        </w:tc>
      </w:tr>
      <w:tr w:rsidR="00DB066D" w14:paraId="7EA6D873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CEFF5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7EE5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</w:t>
            </w:r>
          </w:p>
        </w:tc>
      </w:tr>
      <w:tr w:rsidR="00DB066D" w14:paraId="0B952DFE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ABBF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B082B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72BA6218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230FA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Aktivnost A150303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E081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Zaštita i očuvanje zaštićenih područja i područja ekološke mreže Natura 2000                                              </w:t>
            </w:r>
          </w:p>
          <w:p w14:paraId="21CA8E1B" w14:textId="77777777" w:rsidR="00DB066D" w:rsidRDefault="00DB066D" w:rsidP="00695E12">
            <w:pPr>
              <w:pStyle w:val="Standard"/>
              <w:jc w:val="both"/>
            </w:pPr>
            <w:r w:rsidRPr="00410EA3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-1.600,00 EUR</w:t>
            </w:r>
          </w:p>
        </w:tc>
      </w:tr>
      <w:tr w:rsidR="00DB066D" w14:paraId="119960A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22D13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82392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za zaštitu i očuvanje zaštićenih područja i područja ekološke mreže Natura 2000 su umanjeni u skladu sa planiranim izvršenjem do kraja proračunske godine. Također su rashodi planiranih za nabavu dugotrajne imovine umanjeni budući su ista osigurana kroz projekte sufinancirane sredstvima Europske unije.</w:t>
            </w:r>
          </w:p>
        </w:tc>
      </w:tr>
      <w:tr w:rsidR="00DB066D" w14:paraId="01072E5D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D7428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DF0AF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</w:t>
            </w:r>
          </w:p>
        </w:tc>
      </w:tr>
      <w:tr w:rsidR="00DB066D" w14:paraId="099DB3BC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A4F86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981D3" w14:textId="77777777" w:rsidR="00DB066D" w:rsidRDefault="00DB066D" w:rsidP="00695E12">
            <w:pPr>
              <w:pStyle w:val="Standard"/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  <w:p w14:paraId="71965F31" w14:textId="77777777" w:rsidR="00DB066D" w:rsidRDefault="00DB066D" w:rsidP="00695E12">
            <w:pPr>
              <w:pStyle w:val="Standard"/>
              <w:shd w:val="clear" w:color="auto" w:fill="FFFFFF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0CED3BC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</w:p>
        </w:tc>
      </w:tr>
      <w:bookmarkEnd w:id="2"/>
      <w:tr w:rsidR="00DB066D" w14:paraId="2F998721" w14:textId="77777777" w:rsidTr="00DB066D">
        <w:trPr>
          <w:trHeight w:val="614"/>
        </w:trPr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4DE03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Aktivnost A150306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5BABC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Projekt uklanjanje invazivne strane vrste plavi rak (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</w:rPr>
              <w:t>Callinectes sapidus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)</w:t>
            </w:r>
            <w:r>
              <w:t xml:space="preserve">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-69.400,00 EUR</w:t>
            </w:r>
          </w:p>
        </w:tc>
      </w:tr>
      <w:tr w:rsidR="00DB066D" w14:paraId="1DA76AB1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1DCB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E6A79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Rok trajanja projekta je produljen, kao i planiranih aktivnosti projekta, te su umanjeni rashodi za 2024. proračunsku godinu. Isti su prebačeni u sljedeću proračunsku godinu, sve u skladu s novim hodogramom provođenja projektnih aktivnosti.</w:t>
            </w:r>
          </w:p>
        </w:tc>
      </w:tr>
      <w:tr w:rsidR="00DB066D" w14:paraId="3ADA2CE1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CDC3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73ED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Fond za zaštitu okoliša i energetsku učinkovitost (Izvor 5.8.1)</w:t>
            </w:r>
          </w:p>
        </w:tc>
      </w:tr>
      <w:tr w:rsidR="00DB066D" w14:paraId="11E826E4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88F26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Program 1504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895BA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EU Projekti Javna ustanova za upravljanje zaštićenim dijelovima prirode Dubrovačko-neretvanske županije                                                                        </w:t>
            </w:r>
          </w:p>
          <w:p w14:paraId="78B4A9C7" w14:textId="77777777" w:rsidR="00DB066D" w:rsidRPr="001F68DC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  <w:u w:val="single"/>
              </w:rPr>
              <w:t>-233.150,00 EUR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    </w:t>
            </w:r>
          </w:p>
          <w:p w14:paraId="45E233C0" w14:textId="77777777" w:rsidR="00DB066D" w:rsidRDefault="00DB066D" w:rsidP="00695E12">
            <w:pPr>
              <w:pStyle w:val="Standard"/>
              <w:jc w:val="both"/>
            </w:pPr>
          </w:p>
        </w:tc>
      </w:tr>
      <w:tr w:rsidR="00DB066D" w14:paraId="0745EE74" w14:textId="77777777" w:rsidTr="00DB066D">
        <w:trPr>
          <w:trHeight w:val="545"/>
        </w:trPr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C003" w14:textId="77777777" w:rsidR="00DB066D" w:rsidRDefault="00DB066D" w:rsidP="00695E12">
            <w:pPr>
              <w:pStyle w:val="Standard"/>
              <w:jc w:val="right"/>
            </w:pPr>
            <w:bookmarkStart w:id="4" w:name="Bookmark2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Kapitalni projekt K150406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AFBFF" w14:textId="77777777" w:rsidR="00DB066D" w:rsidRPr="001F68DC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LIFE CONTRA Ailanthus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+44.050,00 EUR                                  </w:t>
            </w:r>
          </w:p>
          <w:p w14:paraId="7D82355B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</w:t>
            </w:r>
          </w:p>
        </w:tc>
      </w:tr>
      <w:tr w:rsidR="00DB066D" w14:paraId="0AE90E61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99E80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25D7B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za provođenje projekta LIFE Contra Ailanthus su uvećani, a također je izvršena i manja preraspodjela sredstava između pojedinih pozicija u okviru istih izvora financiranja, sve u skladu sa hodogramom projektnih aktivnosti i planiranim sredstvima. Uvećanje se odnosi na povećanu potrebu za sredstvima predfinanciranja (Izvor 1.6.2), budući da se približava kraj projekta, a LIFE program će posljednju uplatu sredstava izvršiti po okončanju svih projektnih aktivnosti.</w:t>
            </w:r>
          </w:p>
        </w:tc>
      </w:tr>
      <w:tr w:rsidR="00DB066D" w14:paraId="51581AB3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958C9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FDDAE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LIFE program 2014-2020 (60% odobrenih troškova projekta-Izvor 5.9.); Opći prihodi i primici, Dubrovačko-neretvanska županija (24,94% odobrenih troškova projekta-Izvor 1.1.); Predfinanciranje EU projekata-proračunski korisnici (Izvor 1.6.2); Fond za sufinanciranje provedbe EU projekata na regionalnoj i lokalnoj razini (15,06% odobrenih troškova projekta-Izvor 5.8.).</w:t>
            </w:r>
          </w:p>
        </w:tc>
      </w:tr>
      <w:bookmarkEnd w:id="4"/>
      <w:tr w:rsidR="00DB066D" w14:paraId="4C0917D8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3199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C9BFD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5501128A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98A1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Kapitalni projekt K150407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02630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Očuvanje plemenite periske (</w:t>
            </w:r>
            <w:r>
              <w:rPr>
                <w:rFonts w:ascii="Arial" w:hAnsi="Arial" w:cs="Arial"/>
                <w:b/>
                <w:i/>
                <w:iCs/>
                <w:sz w:val="22"/>
                <w:szCs w:val="22"/>
                <w:u w:val="single"/>
              </w:rPr>
              <w:t>Pinna nobilis</w:t>
            </w: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) u Južnom dijelu Jadranskog mora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</w:t>
            </w:r>
          </w:p>
          <w:p w14:paraId="3D85E72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-900,00 EUR</w:t>
            </w:r>
          </w:p>
        </w:tc>
      </w:tr>
      <w:tr w:rsidR="00DB066D" w14:paraId="73A1E5ED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11665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4E77F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za provođenje projekta su umanjeni, a izvršena je i manja preraspodjela sredstava između pojedinih pozicija u okviru istih izvora financiranja, sve u skladu sa hodogramom projektnih aktivnosti i planiranim sredstvima.</w:t>
            </w:r>
          </w:p>
        </w:tc>
      </w:tr>
      <w:tr w:rsidR="00DB066D" w14:paraId="74CEBFDF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E996E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0CCD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(20% odobrenih troškova projekta-Izvor 1.1.1); Predfinanciranje EU projekata-proračunski korisnici (Izvor 1.6.2); Fond za zaštitu okoliša i energetsku učinkovitost (80% odobrenih troškova projekta-Izvor 5.8.1).</w:t>
            </w:r>
          </w:p>
        </w:tc>
      </w:tr>
      <w:tr w:rsidR="00DB066D" w14:paraId="43AED755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3CC91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A893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60AB5959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7C01B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Kapitalni projekt K150410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198AF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LIFE for MAUREMYS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-5.750,00 EUR</w:t>
            </w:r>
          </w:p>
        </w:tc>
      </w:tr>
      <w:tr w:rsidR="00DB066D" w14:paraId="1240CA63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F9B20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EF4C4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su umanjeni, te su napravljene odgovarajuće preraspodjele i izmjene u skladu sa revidiranim hodogramom projektnih aktivnosti.</w:t>
            </w:r>
          </w:p>
        </w:tc>
      </w:tr>
      <w:tr w:rsidR="00DB066D" w14:paraId="5CF92253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100DE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B3ABC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LIFE program: 60% odobrenih troškova projekta (Izvor 5.9.1); Opći prihodi i primici, Dubrovačko-neretvanska županija: 26,32% odobrenih troškova projekta (Izvor 1.1.1); Fond za sufinanciranje provedbe EU projekata na regionalnoj i lokalnoj razini: 13,68% odobrenih troškova projekta (Izvor 5.8.1); Predfinanciranje EU projekata-proračunski korisnici (Izvor 1.6.2)</w:t>
            </w:r>
          </w:p>
        </w:tc>
      </w:tr>
      <w:tr w:rsidR="00DB066D" w14:paraId="799011BF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6B6D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2785C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0D71F94D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D2AA" w14:textId="77777777" w:rsidR="00DB066D" w:rsidRDefault="00DB066D" w:rsidP="00695E12">
            <w:pPr>
              <w:pStyle w:val="Standard"/>
              <w:jc w:val="right"/>
            </w:pPr>
            <w:bookmarkStart w:id="5" w:name="Bookmark3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T150411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7B22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Greenhealth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</w:t>
            </w:r>
          </w:p>
          <w:p w14:paraId="40D383BE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+750,00 EUR</w:t>
            </w:r>
          </w:p>
        </w:tc>
      </w:tr>
      <w:tr w:rsidR="00DB066D" w14:paraId="5CAAFEAF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5BA50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989E0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su uvećani te su napravljene odgovarajuće preraspodjele i izmjene u skladu sa hodogramom projektnih aktivnosti. Uvećanje se odnosi na povećanu potrebu za sredstvima predfinanciranja (Izvor 1.6.2), zbog nesrazmjera između dinamike provođenja projektnih aktivnosti i uplate sredstava od strane Interreg programa.</w:t>
            </w:r>
          </w:p>
        </w:tc>
      </w:tr>
      <w:tr w:rsidR="00DB066D" w14:paraId="307A0EA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97523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F995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Europe (Izvor 5.9.1)</w:t>
            </w:r>
          </w:p>
        </w:tc>
      </w:tr>
      <w:bookmarkEnd w:id="5"/>
      <w:tr w:rsidR="00DB066D" w14:paraId="63B64785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0B5B1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73AC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17B17557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29CBF" w14:textId="77777777" w:rsidR="00DB066D" w:rsidRDefault="00DB066D" w:rsidP="00695E12">
            <w:pPr>
              <w:pStyle w:val="Standard"/>
              <w:jc w:val="right"/>
            </w:pPr>
            <w:bookmarkStart w:id="6" w:name="Bookmark4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T150412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426A7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Rekonstrukcija i adaptacija posjetiteljske infrastrukture speleoloških objekata - Šipun i Đurovića špilja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</w:t>
            </w:r>
          </w:p>
          <w:p w14:paraId="766B9148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-80.200,00 EUR</w:t>
            </w:r>
          </w:p>
        </w:tc>
      </w:tr>
      <w:tr w:rsidR="00DB066D" w14:paraId="49ABFAEC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F399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10510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Rok trajanja projekta je produljen, te su umanjeni rashodi za 2024. proračunsku godinu. Isti su prebačeni u sljedeću proračunsku godinu, sve u skladu s novim revidiranim hodogramom provođenja projektnih aktivnosti. </w:t>
            </w:r>
          </w:p>
        </w:tc>
      </w:tr>
      <w:tr w:rsidR="00DB066D" w14:paraId="04BE2C10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60DD8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DF6B3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Opći prihodi i primici, Dubrovačko-neretvanska županija (Izvor 1.1.1); Predfinanciranje EU projekata-proračunski korisnici (Izvor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1.6.2); Fond za zaštitu okoliša i energetsku učinkovitost (Izvor 5.8.1)</w:t>
            </w:r>
          </w:p>
        </w:tc>
      </w:tr>
      <w:bookmarkEnd w:id="6"/>
      <w:tr w:rsidR="00DB066D" w14:paraId="54F67F8B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D1F2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1F87C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2641822A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7D0D0" w14:textId="77777777" w:rsidR="00DB066D" w:rsidRDefault="00DB066D" w:rsidP="00695E12">
            <w:pPr>
              <w:pStyle w:val="Standard"/>
              <w:jc w:val="right"/>
            </w:pPr>
            <w:bookmarkStart w:id="7" w:name="Bookmark5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T150413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282D1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Mali indijski Mungos – prijetnja bioraznolikosti doline Neretve</w:t>
            </w:r>
            <w:r>
              <w:t xml:space="preserve">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-6.000,00 EUR</w:t>
            </w:r>
          </w:p>
        </w:tc>
      </w:tr>
      <w:tr w:rsidR="00DB066D" w14:paraId="1F7C1547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B50DC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9EC54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planirani na projektu Mali indijski Mungos su umanjeni, te su napravljene odgovarajuće preraspodjele i izmjene u skladu sa revidiranim hodogramom projektnih aktivnosti. Iako su ukupni rashodi umanjeni, povećanje se odnosi na povećanu potrebu za sredstvima predfinanciranja (Izvor 1.6.2), zbog nesrazmjera između dinamike provođenja projektnih aktivnosti i uplate sredstava od strane Fonda za zaštitu okoliša i energetsku učinkovitost (Izvor 5.8.1).</w:t>
            </w:r>
          </w:p>
        </w:tc>
      </w:tr>
      <w:tr w:rsidR="00DB066D" w14:paraId="5171B300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9188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028FF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Fond za zaštitu okoliša i energetsku učinkovitost (Izvor 5.8.1)</w:t>
            </w:r>
          </w:p>
        </w:tc>
      </w:tr>
      <w:tr w:rsidR="00DB066D" w14:paraId="0EDFD7A8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CE44A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EA3D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564805BE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10121" w14:textId="77777777" w:rsidR="00DB066D" w:rsidRDefault="00DB066D" w:rsidP="00695E12">
            <w:pPr>
              <w:pStyle w:val="Standard"/>
              <w:jc w:val="right"/>
            </w:pPr>
            <w:bookmarkStart w:id="8" w:name="_Hlk169010451"/>
            <w:bookmarkEnd w:id="7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T150414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51232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Projekt Uklanjanje otpada odbačenog u okoliš (speleološki objekti)</w:t>
            </w:r>
            <w:r>
              <w:t xml:space="preserve">                  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-1.000,00 EUR</w:t>
            </w:r>
          </w:p>
        </w:tc>
      </w:tr>
      <w:tr w:rsidR="00DB066D" w14:paraId="2629DE57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13459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20A81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Rashodi su umanjeni u skladu sa revidiranim hodogramom projektnih aktivnosti.</w:t>
            </w:r>
          </w:p>
        </w:tc>
      </w:tr>
      <w:tr w:rsidR="00DB066D" w14:paraId="0CA7F40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838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9964D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Fond za zaštitu okoliša i energetsku učinkovitost (Izvor 5.8.1)</w:t>
            </w:r>
          </w:p>
        </w:tc>
      </w:tr>
      <w:tr w:rsidR="00DB066D" w14:paraId="3DBF45EF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93AC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EC9D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23B9E522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AC840" w14:textId="77777777" w:rsidR="00DB066D" w:rsidRDefault="00DB066D" w:rsidP="00695E12">
            <w:pPr>
              <w:pStyle w:val="Standard"/>
              <w:jc w:val="right"/>
            </w:pPr>
            <w:bookmarkStart w:id="9" w:name="Bookmark6"/>
            <w:bookmarkEnd w:id="8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T150415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124B3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UNDERSEA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-2.000,00 EUR                                                                                                        </w:t>
            </w:r>
          </w:p>
        </w:tc>
      </w:tr>
      <w:tr w:rsidR="00DB066D" w14:paraId="6A6B4488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817BA" w14:textId="77777777" w:rsidR="00DB066D" w:rsidRDefault="00DB066D" w:rsidP="00695E12">
            <w:pPr>
              <w:pStyle w:val="Standard"/>
              <w:jc w:val="right"/>
            </w:pPr>
            <w:bookmarkStart w:id="10" w:name="Bookmark7"/>
            <w:bookmarkEnd w:id="9"/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1443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Projekt je započeo u veljači 2024. godine. Cilj projekta je promicanje održivog razvoja na području Jadranskog mora jačanjem prekograničnog sustava za praćenje, ocjenjivanje i ublažavanje zagađenja antropogenom bukom, te unapređenje upravljanja i planiranja rješenja za zaštitu ekosustava Jadranskog mora od podvodnog zagađenja antropogenom bukom.</w:t>
            </w:r>
          </w:p>
          <w:p w14:paraId="42BD1213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01547067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1093F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C88AE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28CA725E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8D631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E72D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16692A6E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4724" w14:textId="77777777" w:rsidR="00DB066D" w:rsidRDefault="00DB066D" w:rsidP="00695E12">
            <w:pPr>
              <w:pStyle w:val="Standard"/>
              <w:jc w:val="right"/>
            </w:pPr>
            <w:bookmarkStart w:id="11" w:name="Bookmark8"/>
            <w:bookmarkEnd w:id="10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T150416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211B" w14:textId="77777777" w:rsidR="00DB066D" w:rsidRPr="001F68DC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ASPEH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-27.450,00 EUR</w:t>
            </w:r>
          </w:p>
          <w:p w14:paraId="14C2F622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DB066D" w14:paraId="758A7BBA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D7AA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73773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Projekt je započeo u travnju 2024. godine. Cilj projekta je suočavanje s gubitkom bioraznolikosti, definiranjem zajedničkih alata i strategije za očuvanje prirodne baštine i krajobraza u jadranskom području.</w:t>
            </w:r>
          </w:p>
          <w:p w14:paraId="73072E5C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493FB8F1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97598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13F21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4AFB911D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6DB3B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52C92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7661216A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AE897" w14:textId="77777777" w:rsidR="00DB066D" w:rsidRDefault="00DB066D" w:rsidP="00695E12">
            <w:pPr>
              <w:pStyle w:val="Standard"/>
              <w:jc w:val="right"/>
            </w:pPr>
            <w:bookmarkStart w:id="12" w:name="Bookmark9"/>
            <w:bookmarkEnd w:id="11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T150417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9C7A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BIOPRESSADRIA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-26.950,00 EUR</w:t>
            </w:r>
          </w:p>
          <w:p w14:paraId="3D2CAFCD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DB066D" w14:paraId="3188099B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BC67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96687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Projekt je započeo u  ožujku 2024. godine. </w:t>
            </w:r>
            <w:r w:rsidRPr="00410EA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Cilj projekta je testiranje i provedba zajedničke prekogranične integrirane strategije usmjerene na sprječavanje gubitka biološke raznolikosti, posebno u pogledu degradacije livada morskih cvjetnica zbog antropogenih pritisaka duž Jadranske obale.</w:t>
            </w:r>
          </w:p>
          <w:p w14:paraId="60AEEB5C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3C1E9C0D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554CD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1FFA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77D03CAF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57D94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F9552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7AFFF00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4F3DF" w14:textId="77777777" w:rsidR="00DB066D" w:rsidRDefault="00DB066D" w:rsidP="00695E12">
            <w:pPr>
              <w:pStyle w:val="Standard"/>
              <w:jc w:val="right"/>
            </w:pPr>
            <w:bookmarkStart w:id="13" w:name="Bookmark10"/>
            <w:bookmarkEnd w:id="12"/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T150418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C73DF" w14:textId="77777777" w:rsidR="00DB066D" w:rsidRPr="001F68DC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BLUEDIVERSITY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-42.900,00 EUR</w:t>
            </w:r>
          </w:p>
          <w:p w14:paraId="21F62541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DB066D" w14:paraId="466F9F1C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805F9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9FB99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Projekt je započeo u ožujku 2024. godine.</w:t>
            </w:r>
          </w:p>
          <w:p w14:paraId="7835E3C3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19DCDFE2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7C4F8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C4917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5F393466" w14:textId="77777777" w:rsidTr="00DB066D">
        <w:tc>
          <w:tcPr>
            <w:tcW w:w="3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5A37D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6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DC9B4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  <w:p w14:paraId="258FC952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2B1AD8" w14:textId="77777777" w:rsidR="00DB066D" w:rsidRDefault="00DB066D" w:rsidP="00695E12">
            <w:pPr>
              <w:pStyle w:val="Standard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8B191F5" w14:textId="77777777" w:rsidR="00DB066D" w:rsidRDefault="00DB066D" w:rsidP="00695E12">
            <w:pPr>
              <w:pStyle w:val="Standard"/>
              <w:jc w:val="both"/>
            </w:pPr>
          </w:p>
        </w:tc>
      </w:tr>
      <w:bookmarkEnd w:id="13"/>
    </w:tbl>
    <w:p w14:paraId="309C2970" w14:textId="77777777" w:rsidR="00DB066D" w:rsidRDefault="00DB066D" w:rsidP="00DB066D">
      <w:pPr>
        <w:pStyle w:val="Standard"/>
        <w:rPr>
          <w:rFonts w:ascii="Arial" w:hAnsi="Arial" w:cs="Arial"/>
          <w:color w:val="808080"/>
          <w:sz w:val="22"/>
          <w:szCs w:val="22"/>
        </w:rPr>
      </w:pPr>
    </w:p>
    <w:tbl>
      <w:tblPr>
        <w:tblW w:w="10348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6"/>
        <w:gridCol w:w="8422"/>
      </w:tblGrid>
      <w:tr w:rsidR="00DB066D" w14:paraId="4D45A781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E753E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T150419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4B745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EU Projekt Interreg </w:t>
            </w:r>
            <w:r w:rsidRPr="001F68DC">
              <w:rPr>
                <w:rFonts w:ascii="Arial" w:hAnsi="Arial" w:cs="Arial"/>
                <w:b/>
                <w:sz w:val="22"/>
                <w:szCs w:val="22"/>
                <w:u w:val="single"/>
              </w:rPr>
              <w:t>GREW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-69.600,00 EUR</w:t>
            </w:r>
          </w:p>
          <w:p w14:paraId="09C7B3B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DB066D" w14:paraId="36AFA922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7D2AA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96C37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 xml:space="preserve">Projekt je započeo u ožujku 2024. godine. Cilj projekta je postizanje zajedničkog naprednog upravljanja prekograničnim močvarnim područjima Italije i Hrvatske te pružanja dodatne vrijednosti ovim područjima. </w:t>
            </w:r>
          </w:p>
          <w:p w14:paraId="54D97D7B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525B4C82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841D7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Izvori financiranja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2895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6CC22D08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2EDC6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708B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  <w:tr w:rsidR="00DB066D" w14:paraId="1B513BFC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67002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Tekući projekt T150420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3F057" w14:textId="77777777" w:rsidR="00DB066D" w:rsidRPr="001F68DC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EU Projekt Interreg BEPREPARED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</w:t>
            </w:r>
            <w:r w:rsidRPr="001F68DC">
              <w:rPr>
                <w:rFonts w:ascii="Arial" w:hAnsi="Arial" w:cs="Arial"/>
                <w:b/>
                <w:sz w:val="22"/>
                <w:szCs w:val="22"/>
              </w:rPr>
              <w:t>-15.200,00 EUR</w:t>
            </w:r>
          </w:p>
          <w:p w14:paraId="1E681DF0" w14:textId="77777777" w:rsidR="00DB066D" w:rsidRDefault="00DB066D" w:rsidP="00695E12">
            <w:pPr>
              <w:pStyle w:val="Standard"/>
              <w:jc w:val="both"/>
            </w:pPr>
            <w:r w:rsidRPr="001F68DC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</w:p>
        </w:tc>
      </w:tr>
      <w:tr w:rsidR="00DB066D" w14:paraId="33664472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6E414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Obrazloženje: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8936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Projekt je započeo u travnju 2024. godine. Cilj projekta je promicanje prilagodbe klimatskim promjenama i sprječavanja rizika od katastrofa te otpornosti, uzimajući u obzir pristupe utemeljene na ekosustavima.</w:t>
            </w:r>
          </w:p>
          <w:p w14:paraId="4A54D46D" w14:textId="77777777" w:rsidR="00DB066D" w:rsidRDefault="00DB066D" w:rsidP="00695E12">
            <w:pPr>
              <w:pStyle w:val="Standard"/>
              <w:shd w:val="clear" w:color="auto" w:fill="FFFFFF"/>
              <w:jc w:val="both"/>
            </w:pPr>
            <w:r>
              <w:rPr>
                <w:rFonts w:ascii="Arial" w:hAnsi="Arial" w:cs="Arial"/>
                <w:bCs/>
                <w:sz w:val="22"/>
                <w:szCs w:val="22"/>
              </w:rPr>
              <w:t>Rashodi projekta su umanjeni zbog promjena u razdoblju provođenja aktivnosti  te su se aktivnosti prolongirale za sljedeća obračunska razdoblja.</w:t>
            </w:r>
          </w:p>
        </w:tc>
      </w:tr>
      <w:tr w:rsidR="00DB066D" w14:paraId="4156DAD1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CA400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Izvori financiranja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84FD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Opći prihodi i primici, Dubrovačko-neretvanska županija (Izvor 1.1.1); Predfinanciranje EU projekata-proračunski korisnici (Izvor 1.6.2); Interreg Italy-Croatia (Izvor 5.9.1)</w:t>
            </w:r>
          </w:p>
        </w:tc>
      </w:tr>
      <w:tr w:rsidR="00DB066D" w14:paraId="4575DB23" w14:textId="77777777" w:rsidTr="00695E12">
        <w:tc>
          <w:tcPr>
            <w:tcW w:w="1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555F9" w14:textId="77777777" w:rsidR="00DB066D" w:rsidRDefault="00DB066D" w:rsidP="00695E12">
            <w:pPr>
              <w:pStyle w:val="Standard"/>
              <w:jc w:val="right"/>
            </w:pPr>
            <w:r>
              <w:rPr>
                <w:rFonts w:ascii="Arial" w:hAnsi="Arial" w:cs="Arial"/>
                <w:b/>
                <w:sz w:val="22"/>
                <w:szCs w:val="22"/>
              </w:rPr>
              <w:t>Povezanost s mjerama iz Provedbenog programa DNŽ</w:t>
            </w:r>
          </w:p>
        </w:tc>
        <w:tc>
          <w:tcPr>
            <w:tcW w:w="8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00754" w14:textId="77777777" w:rsidR="00DB066D" w:rsidRDefault="00DB066D" w:rsidP="00695E12">
            <w:pPr>
              <w:pStyle w:val="Standard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Mjera: 3.3.1. Očuvanje, valorizacija i održivo korištenje prirodne baštine</w:t>
            </w:r>
          </w:p>
        </w:tc>
      </w:tr>
    </w:tbl>
    <w:p w14:paraId="55649B57" w14:textId="77777777" w:rsidR="00DB066D" w:rsidRDefault="00DB066D" w:rsidP="00DB066D">
      <w:pPr>
        <w:pStyle w:val="Standard"/>
      </w:pPr>
    </w:p>
    <w:p w14:paraId="06BB4859" w14:textId="77777777" w:rsidR="00DB066D" w:rsidRPr="007B3272" w:rsidRDefault="00DB066D" w:rsidP="00896D40">
      <w:pPr>
        <w:rPr>
          <w:rFonts w:ascii="Arial" w:hAnsi="Arial" w:cs="Arial"/>
          <w:color w:val="A6A6A6" w:themeColor="background1" w:themeShade="A6"/>
          <w:sz w:val="22"/>
          <w:szCs w:val="22"/>
          <w:lang w:val="hr-HR"/>
        </w:rPr>
      </w:pPr>
    </w:p>
    <w:sectPr w:rsidR="00DB066D" w:rsidRPr="007B3272" w:rsidSect="00AC6320">
      <w:pgSz w:w="12240" w:h="15840" w:code="1"/>
      <w:pgMar w:top="567" w:right="964" w:bottom="68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RO_Korinna-Normal">
    <w:altName w:val="Cambria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B4941"/>
    <w:multiLevelType w:val="hybridMultilevel"/>
    <w:tmpl w:val="0D666CB8"/>
    <w:lvl w:ilvl="0" w:tplc="CBF4C4F8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30" w:hanging="360"/>
      </w:pPr>
    </w:lvl>
    <w:lvl w:ilvl="2" w:tplc="041A001B">
      <w:start w:val="1"/>
      <w:numFmt w:val="lowerRoman"/>
      <w:lvlText w:val="%3."/>
      <w:lvlJc w:val="right"/>
      <w:pPr>
        <w:ind w:left="1450" w:hanging="180"/>
      </w:pPr>
    </w:lvl>
    <w:lvl w:ilvl="3" w:tplc="041A000F" w:tentative="1">
      <w:start w:val="1"/>
      <w:numFmt w:val="decimal"/>
      <w:lvlText w:val="%4."/>
      <w:lvlJc w:val="left"/>
      <w:pPr>
        <w:ind w:left="2170" w:hanging="360"/>
      </w:pPr>
    </w:lvl>
    <w:lvl w:ilvl="4" w:tplc="041A0019" w:tentative="1">
      <w:start w:val="1"/>
      <w:numFmt w:val="lowerLetter"/>
      <w:lvlText w:val="%5."/>
      <w:lvlJc w:val="left"/>
      <w:pPr>
        <w:ind w:left="2890" w:hanging="360"/>
      </w:pPr>
    </w:lvl>
    <w:lvl w:ilvl="5" w:tplc="041A001B" w:tentative="1">
      <w:start w:val="1"/>
      <w:numFmt w:val="lowerRoman"/>
      <w:lvlText w:val="%6."/>
      <w:lvlJc w:val="right"/>
      <w:pPr>
        <w:ind w:left="3610" w:hanging="180"/>
      </w:pPr>
    </w:lvl>
    <w:lvl w:ilvl="6" w:tplc="041A000F" w:tentative="1">
      <w:start w:val="1"/>
      <w:numFmt w:val="decimal"/>
      <w:lvlText w:val="%7."/>
      <w:lvlJc w:val="left"/>
      <w:pPr>
        <w:ind w:left="4330" w:hanging="360"/>
      </w:pPr>
    </w:lvl>
    <w:lvl w:ilvl="7" w:tplc="041A0019" w:tentative="1">
      <w:start w:val="1"/>
      <w:numFmt w:val="lowerLetter"/>
      <w:lvlText w:val="%8."/>
      <w:lvlJc w:val="left"/>
      <w:pPr>
        <w:ind w:left="5050" w:hanging="360"/>
      </w:pPr>
    </w:lvl>
    <w:lvl w:ilvl="8" w:tplc="041A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" w15:restartNumberingAfterBreak="0">
    <w:nsid w:val="0EA62EDF"/>
    <w:multiLevelType w:val="hybridMultilevel"/>
    <w:tmpl w:val="DB562F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A4F11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D7017D5"/>
    <w:multiLevelType w:val="hybridMultilevel"/>
    <w:tmpl w:val="EF7052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C4AF6"/>
    <w:multiLevelType w:val="hybridMultilevel"/>
    <w:tmpl w:val="DAC8D0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19D9"/>
    <w:multiLevelType w:val="hybridMultilevel"/>
    <w:tmpl w:val="5AEA5C40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185486D"/>
    <w:multiLevelType w:val="hybridMultilevel"/>
    <w:tmpl w:val="7670099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914DE9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FA4B01"/>
    <w:multiLevelType w:val="hybridMultilevel"/>
    <w:tmpl w:val="80F80790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D152D"/>
    <w:multiLevelType w:val="hybridMultilevel"/>
    <w:tmpl w:val="2D766AB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C4768"/>
    <w:multiLevelType w:val="hybridMultilevel"/>
    <w:tmpl w:val="5A060E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43163"/>
    <w:multiLevelType w:val="hybridMultilevel"/>
    <w:tmpl w:val="E34C8018"/>
    <w:lvl w:ilvl="0" w:tplc="B142C09C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F3100"/>
    <w:multiLevelType w:val="hybridMultilevel"/>
    <w:tmpl w:val="D7E40106"/>
    <w:lvl w:ilvl="0" w:tplc="CBF4C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6193590"/>
    <w:multiLevelType w:val="hybridMultilevel"/>
    <w:tmpl w:val="C35AEBE6"/>
    <w:lvl w:ilvl="0" w:tplc="2EC0DED8">
      <w:numFmt w:val="bullet"/>
      <w:lvlText w:val="-"/>
      <w:lvlJc w:val="left"/>
      <w:pPr>
        <w:ind w:left="5970" w:hanging="360"/>
      </w:pPr>
      <w:rPr>
        <w:rFonts w:ascii="Arial" w:eastAsia="Times New Roman" w:hAnsi="Arial" w:cs="Arial" w:hint="default"/>
        <w:color w:val="0070C0"/>
      </w:rPr>
    </w:lvl>
    <w:lvl w:ilvl="1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1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88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95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02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0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1730" w:hanging="360"/>
      </w:pPr>
      <w:rPr>
        <w:rFonts w:ascii="Wingdings" w:hAnsi="Wingdings" w:hint="default"/>
      </w:rPr>
    </w:lvl>
  </w:abstractNum>
  <w:abstractNum w:abstractNumId="14" w15:restartNumberingAfterBreak="0">
    <w:nsid w:val="59B12004"/>
    <w:multiLevelType w:val="hybridMultilevel"/>
    <w:tmpl w:val="EB7475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7783A"/>
    <w:multiLevelType w:val="hybridMultilevel"/>
    <w:tmpl w:val="1DAA6F80"/>
    <w:lvl w:ilvl="0" w:tplc="DBB2F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735717"/>
    <w:multiLevelType w:val="hybridMultilevel"/>
    <w:tmpl w:val="9CD87C6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7931C5"/>
    <w:multiLevelType w:val="hybridMultilevel"/>
    <w:tmpl w:val="2FF2E5E0"/>
    <w:lvl w:ilvl="0" w:tplc="5FE65E24">
      <w:start w:val="1"/>
      <w:numFmt w:val="decimal"/>
      <w:lvlText w:val="%1."/>
      <w:lvlJc w:val="left"/>
      <w:pPr>
        <w:ind w:left="1070" w:hanging="360"/>
      </w:pPr>
      <w:rPr>
        <w:b/>
        <w:bCs w:val="0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36186932">
    <w:abstractNumId w:val="6"/>
  </w:num>
  <w:num w:numId="2" w16cid:durableId="1166093094">
    <w:abstractNumId w:val="4"/>
  </w:num>
  <w:num w:numId="3" w16cid:durableId="1343363534">
    <w:abstractNumId w:val="12"/>
  </w:num>
  <w:num w:numId="4" w16cid:durableId="1058019049">
    <w:abstractNumId w:val="0"/>
  </w:num>
  <w:num w:numId="5" w16cid:durableId="737633548">
    <w:abstractNumId w:val="14"/>
  </w:num>
  <w:num w:numId="6" w16cid:durableId="1654600892">
    <w:abstractNumId w:val="5"/>
  </w:num>
  <w:num w:numId="7" w16cid:durableId="941104651">
    <w:abstractNumId w:val="3"/>
  </w:num>
  <w:num w:numId="8" w16cid:durableId="1261521104">
    <w:abstractNumId w:val="15"/>
  </w:num>
  <w:num w:numId="9" w16cid:durableId="1330064469">
    <w:abstractNumId w:val="16"/>
  </w:num>
  <w:num w:numId="10" w16cid:durableId="1658992612">
    <w:abstractNumId w:val="1"/>
  </w:num>
  <w:num w:numId="11" w16cid:durableId="1785685572">
    <w:abstractNumId w:val="9"/>
  </w:num>
  <w:num w:numId="12" w16cid:durableId="1232428851">
    <w:abstractNumId w:val="10"/>
  </w:num>
  <w:num w:numId="13" w16cid:durableId="2005619945">
    <w:abstractNumId w:val="7"/>
  </w:num>
  <w:num w:numId="14" w16cid:durableId="178667283">
    <w:abstractNumId w:val="17"/>
  </w:num>
  <w:num w:numId="15" w16cid:durableId="1902253991">
    <w:abstractNumId w:val="2"/>
  </w:num>
  <w:num w:numId="16" w16cid:durableId="1352685547">
    <w:abstractNumId w:val="8"/>
  </w:num>
  <w:num w:numId="17" w16cid:durableId="833765788">
    <w:abstractNumId w:val="11"/>
  </w:num>
  <w:num w:numId="18" w16cid:durableId="9337876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xNzI0sjQ3NTWwMLdU0lEKTi0uzszPAykwqwUAZx/y3SwAAAA="/>
  </w:docVars>
  <w:rsids>
    <w:rsidRoot w:val="00657D23"/>
    <w:rsid w:val="00001E82"/>
    <w:rsid w:val="0000214A"/>
    <w:rsid w:val="00002B5B"/>
    <w:rsid w:val="00004017"/>
    <w:rsid w:val="00006D19"/>
    <w:rsid w:val="00017E3E"/>
    <w:rsid w:val="00033B60"/>
    <w:rsid w:val="00040CDE"/>
    <w:rsid w:val="00045C29"/>
    <w:rsid w:val="00047897"/>
    <w:rsid w:val="000514E2"/>
    <w:rsid w:val="000536CD"/>
    <w:rsid w:val="000564A0"/>
    <w:rsid w:val="000614C0"/>
    <w:rsid w:val="00063556"/>
    <w:rsid w:val="00073AA3"/>
    <w:rsid w:val="00074BDD"/>
    <w:rsid w:val="0007532D"/>
    <w:rsid w:val="00081B75"/>
    <w:rsid w:val="000865B3"/>
    <w:rsid w:val="00091452"/>
    <w:rsid w:val="00094787"/>
    <w:rsid w:val="00096C85"/>
    <w:rsid w:val="000A0F94"/>
    <w:rsid w:val="000A1FB2"/>
    <w:rsid w:val="000A4742"/>
    <w:rsid w:val="000A7F5E"/>
    <w:rsid w:val="000B2370"/>
    <w:rsid w:val="000B5CAE"/>
    <w:rsid w:val="000D3C87"/>
    <w:rsid w:val="000E4899"/>
    <w:rsid w:val="000E5DD0"/>
    <w:rsid w:val="000E6645"/>
    <w:rsid w:val="000F083F"/>
    <w:rsid w:val="001002D3"/>
    <w:rsid w:val="00102935"/>
    <w:rsid w:val="00107A98"/>
    <w:rsid w:val="00110223"/>
    <w:rsid w:val="00110B9E"/>
    <w:rsid w:val="00114BE9"/>
    <w:rsid w:val="00114EFE"/>
    <w:rsid w:val="001177DE"/>
    <w:rsid w:val="00120266"/>
    <w:rsid w:val="00126B7C"/>
    <w:rsid w:val="00134F1B"/>
    <w:rsid w:val="001354B8"/>
    <w:rsid w:val="001360F3"/>
    <w:rsid w:val="00137034"/>
    <w:rsid w:val="0013728C"/>
    <w:rsid w:val="00145BF5"/>
    <w:rsid w:val="00146EE7"/>
    <w:rsid w:val="0015278A"/>
    <w:rsid w:val="0015417C"/>
    <w:rsid w:val="0015662B"/>
    <w:rsid w:val="001643B3"/>
    <w:rsid w:val="00165841"/>
    <w:rsid w:val="00165DCD"/>
    <w:rsid w:val="00171BD1"/>
    <w:rsid w:val="001760EC"/>
    <w:rsid w:val="00176BEB"/>
    <w:rsid w:val="00180235"/>
    <w:rsid w:val="00180C1F"/>
    <w:rsid w:val="00182433"/>
    <w:rsid w:val="001879A8"/>
    <w:rsid w:val="00190289"/>
    <w:rsid w:val="00190C61"/>
    <w:rsid w:val="00193341"/>
    <w:rsid w:val="00193BF9"/>
    <w:rsid w:val="001A1396"/>
    <w:rsid w:val="001A1F0E"/>
    <w:rsid w:val="001A2C93"/>
    <w:rsid w:val="001B00A6"/>
    <w:rsid w:val="001B16F0"/>
    <w:rsid w:val="001C10FA"/>
    <w:rsid w:val="001C6282"/>
    <w:rsid w:val="001D6135"/>
    <w:rsid w:val="001E0E88"/>
    <w:rsid w:val="001E5648"/>
    <w:rsid w:val="001F04F7"/>
    <w:rsid w:val="001F1E38"/>
    <w:rsid w:val="001F470C"/>
    <w:rsid w:val="001F7833"/>
    <w:rsid w:val="001F7E5F"/>
    <w:rsid w:val="00202B04"/>
    <w:rsid w:val="00204E7E"/>
    <w:rsid w:val="00212814"/>
    <w:rsid w:val="0021718A"/>
    <w:rsid w:val="0022036E"/>
    <w:rsid w:val="002209B2"/>
    <w:rsid w:val="00220C60"/>
    <w:rsid w:val="002217E3"/>
    <w:rsid w:val="00224CF5"/>
    <w:rsid w:val="00225FED"/>
    <w:rsid w:val="002319A3"/>
    <w:rsid w:val="00233C57"/>
    <w:rsid w:val="0023473E"/>
    <w:rsid w:val="00236252"/>
    <w:rsid w:val="00236275"/>
    <w:rsid w:val="00240252"/>
    <w:rsid w:val="002447AF"/>
    <w:rsid w:val="00252DF9"/>
    <w:rsid w:val="002530C0"/>
    <w:rsid w:val="00253604"/>
    <w:rsid w:val="00263C38"/>
    <w:rsid w:val="00263CF6"/>
    <w:rsid w:val="00285B34"/>
    <w:rsid w:val="00291EAC"/>
    <w:rsid w:val="00295181"/>
    <w:rsid w:val="0029585E"/>
    <w:rsid w:val="002A7F5D"/>
    <w:rsid w:val="002B0F53"/>
    <w:rsid w:val="002B0FDB"/>
    <w:rsid w:val="002B1808"/>
    <w:rsid w:val="002B19A1"/>
    <w:rsid w:val="002B1A62"/>
    <w:rsid w:val="002B2EDF"/>
    <w:rsid w:val="002B4F4F"/>
    <w:rsid w:val="002B716A"/>
    <w:rsid w:val="002C1FE3"/>
    <w:rsid w:val="002C6936"/>
    <w:rsid w:val="002D261A"/>
    <w:rsid w:val="002E06C1"/>
    <w:rsid w:val="002E1BC8"/>
    <w:rsid w:val="002E2DED"/>
    <w:rsid w:val="002E66A7"/>
    <w:rsid w:val="002E73BC"/>
    <w:rsid w:val="002F14DA"/>
    <w:rsid w:val="002F5814"/>
    <w:rsid w:val="002F5F51"/>
    <w:rsid w:val="003067F4"/>
    <w:rsid w:val="00312456"/>
    <w:rsid w:val="00313373"/>
    <w:rsid w:val="0031395E"/>
    <w:rsid w:val="00324047"/>
    <w:rsid w:val="00336A05"/>
    <w:rsid w:val="00337456"/>
    <w:rsid w:val="00343E9C"/>
    <w:rsid w:val="00345059"/>
    <w:rsid w:val="0035510F"/>
    <w:rsid w:val="00360C2E"/>
    <w:rsid w:val="003613A5"/>
    <w:rsid w:val="00367907"/>
    <w:rsid w:val="0037183E"/>
    <w:rsid w:val="0037789C"/>
    <w:rsid w:val="00380952"/>
    <w:rsid w:val="00384B68"/>
    <w:rsid w:val="00387F38"/>
    <w:rsid w:val="00390DD6"/>
    <w:rsid w:val="003929E3"/>
    <w:rsid w:val="003A69AA"/>
    <w:rsid w:val="003B611D"/>
    <w:rsid w:val="003C0489"/>
    <w:rsid w:val="003C4F8E"/>
    <w:rsid w:val="003D1B73"/>
    <w:rsid w:val="003D2AE8"/>
    <w:rsid w:val="003D5219"/>
    <w:rsid w:val="003E2C3C"/>
    <w:rsid w:val="003E5087"/>
    <w:rsid w:val="003F0914"/>
    <w:rsid w:val="003F262B"/>
    <w:rsid w:val="003F789C"/>
    <w:rsid w:val="0040010B"/>
    <w:rsid w:val="004004DF"/>
    <w:rsid w:val="0040197B"/>
    <w:rsid w:val="00403F00"/>
    <w:rsid w:val="00404FB3"/>
    <w:rsid w:val="00406631"/>
    <w:rsid w:val="00407D3A"/>
    <w:rsid w:val="00410A04"/>
    <w:rsid w:val="0041604D"/>
    <w:rsid w:val="00420151"/>
    <w:rsid w:val="00423981"/>
    <w:rsid w:val="00426F44"/>
    <w:rsid w:val="0043148C"/>
    <w:rsid w:val="00431AD8"/>
    <w:rsid w:val="00436063"/>
    <w:rsid w:val="00440765"/>
    <w:rsid w:val="00445A78"/>
    <w:rsid w:val="0044715D"/>
    <w:rsid w:val="00452EFE"/>
    <w:rsid w:val="00454963"/>
    <w:rsid w:val="00462340"/>
    <w:rsid w:val="004626CC"/>
    <w:rsid w:val="00465A6D"/>
    <w:rsid w:val="00471045"/>
    <w:rsid w:val="0047308F"/>
    <w:rsid w:val="00480432"/>
    <w:rsid w:val="00480841"/>
    <w:rsid w:val="004829C1"/>
    <w:rsid w:val="0048773E"/>
    <w:rsid w:val="00492EA3"/>
    <w:rsid w:val="004A2B28"/>
    <w:rsid w:val="004A4C96"/>
    <w:rsid w:val="004B484F"/>
    <w:rsid w:val="004B4B29"/>
    <w:rsid w:val="004B7A9D"/>
    <w:rsid w:val="004C7970"/>
    <w:rsid w:val="004E1A26"/>
    <w:rsid w:val="004E2EB2"/>
    <w:rsid w:val="004E4706"/>
    <w:rsid w:val="004E6356"/>
    <w:rsid w:val="004F5734"/>
    <w:rsid w:val="00500364"/>
    <w:rsid w:val="0050495A"/>
    <w:rsid w:val="00504D6A"/>
    <w:rsid w:val="00505865"/>
    <w:rsid w:val="0050618F"/>
    <w:rsid w:val="00521237"/>
    <w:rsid w:val="005220B2"/>
    <w:rsid w:val="005234D5"/>
    <w:rsid w:val="00536CCF"/>
    <w:rsid w:val="00540F84"/>
    <w:rsid w:val="00541EEF"/>
    <w:rsid w:val="0054421E"/>
    <w:rsid w:val="00545710"/>
    <w:rsid w:val="005477DB"/>
    <w:rsid w:val="005512B8"/>
    <w:rsid w:val="00554AD5"/>
    <w:rsid w:val="00554E93"/>
    <w:rsid w:val="00563673"/>
    <w:rsid w:val="005656AD"/>
    <w:rsid w:val="00566B2B"/>
    <w:rsid w:val="00567947"/>
    <w:rsid w:val="00575534"/>
    <w:rsid w:val="0059150C"/>
    <w:rsid w:val="00594599"/>
    <w:rsid w:val="005978B5"/>
    <w:rsid w:val="005A1E9D"/>
    <w:rsid w:val="005A41A4"/>
    <w:rsid w:val="005B3007"/>
    <w:rsid w:val="005B3B69"/>
    <w:rsid w:val="005B4845"/>
    <w:rsid w:val="005B7507"/>
    <w:rsid w:val="005C7F64"/>
    <w:rsid w:val="005D0D53"/>
    <w:rsid w:val="005D3395"/>
    <w:rsid w:val="005D689B"/>
    <w:rsid w:val="005D6D4B"/>
    <w:rsid w:val="0060111D"/>
    <w:rsid w:val="006033E7"/>
    <w:rsid w:val="006056E0"/>
    <w:rsid w:val="00612DD0"/>
    <w:rsid w:val="0062321D"/>
    <w:rsid w:val="0062698B"/>
    <w:rsid w:val="00631005"/>
    <w:rsid w:val="00632E5E"/>
    <w:rsid w:val="006457CF"/>
    <w:rsid w:val="00654656"/>
    <w:rsid w:val="00656662"/>
    <w:rsid w:val="006569E3"/>
    <w:rsid w:val="00657D23"/>
    <w:rsid w:val="00660A29"/>
    <w:rsid w:val="00667770"/>
    <w:rsid w:val="0067417F"/>
    <w:rsid w:val="00685D57"/>
    <w:rsid w:val="00686DFC"/>
    <w:rsid w:val="006875CC"/>
    <w:rsid w:val="006963BC"/>
    <w:rsid w:val="00696591"/>
    <w:rsid w:val="006A283C"/>
    <w:rsid w:val="006A39AA"/>
    <w:rsid w:val="006B044A"/>
    <w:rsid w:val="006B1D8B"/>
    <w:rsid w:val="006B3D29"/>
    <w:rsid w:val="006B50CD"/>
    <w:rsid w:val="006C1C32"/>
    <w:rsid w:val="006C47CF"/>
    <w:rsid w:val="006C49A6"/>
    <w:rsid w:val="006C64ED"/>
    <w:rsid w:val="006D1807"/>
    <w:rsid w:val="006D32AF"/>
    <w:rsid w:val="006D32FA"/>
    <w:rsid w:val="006D69B3"/>
    <w:rsid w:val="006E6D04"/>
    <w:rsid w:val="006F1117"/>
    <w:rsid w:val="00700A11"/>
    <w:rsid w:val="00703B3B"/>
    <w:rsid w:val="00705A90"/>
    <w:rsid w:val="00711227"/>
    <w:rsid w:val="00713D8A"/>
    <w:rsid w:val="00714C54"/>
    <w:rsid w:val="007156D7"/>
    <w:rsid w:val="00722431"/>
    <w:rsid w:val="007230E9"/>
    <w:rsid w:val="007232D3"/>
    <w:rsid w:val="00725A46"/>
    <w:rsid w:val="00725F2D"/>
    <w:rsid w:val="0072779C"/>
    <w:rsid w:val="007279EB"/>
    <w:rsid w:val="007319AB"/>
    <w:rsid w:val="00733CD6"/>
    <w:rsid w:val="007354C7"/>
    <w:rsid w:val="007359AD"/>
    <w:rsid w:val="00745369"/>
    <w:rsid w:val="007462FA"/>
    <w:rsid w:val="00747F24"/>
    <w:rsid w:val="007527B4"/>
    <w:rsid w:val="0075462F"/>
    <w:rsid w:val="007568E9"/>
    <w:rsid w:val="0076407D"/>
    <w:rsid w:val="00765872"/>
    <w:rsid w:val="00766040"/>
    <w:rsid w:val="00770198"/>
    <w:rsid w:val="00770A77"/>
    <w:rsid w:val="007731FF"/>
    <w:rsid w:val="007770B6"/>
    <w:rsid w:val="00786862"/>
    <w:rsid w:val="007903F7"/>
    <w:rsid w:val="00793F96"/>
    <w:rsid w:val="0079423E"/>
    <w:rsid w:val="007946B7"/>
    <w:rsid w:val="00795CB5"/>
    <w:rsid w:val="007968DC"/>
    <w:rsid w:val="007975C7"/>
    <w:rsid w:val="007A708C"/>
    <w:rsid w:val="007B2BCF"/>
    <w:rsid w:val="007B2D0B"/>
    <w:rsid w:val="007B3272"/>
    <w:rsid w:val="007B4115"/>
    <w:rsid w:val="007B6454"/>
    <w:rsid w:val="007B7AFC"/>
    <w:rsid w:val="007C02B2"/>
    <w:rsid w:val="007C3663"/>
    <w:rsid w:val="007C3C45"/>
    <w:rsid w:val="007D0D5D"/>
    <w:rsid w:val="007E3A6E"/>
    <w:rsid w:val="007F20E5"/>
    <w:rsid w:val="007F3F0D"/>
    <w:rsid w:val="007F455A"/>
    <w:rsid w:val="007F5208"/>
    <w:rsid w:val="007F5E87"/>
    <w:rsid w:val="00804371"/>
    <w:rsid w:val="00804971"/>
    <w:rsid w:val="00805D8C"/>
    <w:rsid w:val="00807AF8"/>
    <w:rsid w:val="00810321"/>
    <w:rsid w:val="00810DBB"/>
    <w:rsid w:val="00810DE2"/>
    <w:rsid w:val="00813374"/>
    <w:rsid w:val="00816C65"/>
    <w:rsid w:val="008215FE"/>
    <w:rsid w:val="0082300C"/>
    <w:rsid w:val="00823401"/>
    <w:rsid w:val="0082655F"/>
    <w:rsid w:val="008317C7"/>
    <w:rsid w:val="00837F10"/>
    <w:rsid w:val="00842173"/>
    <w:rsid w:val="00843109"/>
    <w:rsid w:val="00843B8B"/>
    <w:rsid w:val="0084495B"/>
    <w:rsid w:val="00846C81"/>
    <w:rsid w:val="00850404"/>
    <w:rsid w:val="00852908"/>
    <w:rsid w:val="00856C97"/>
    <w:rsid w:val="00861587"/>
    <w:rsid w:val="00861A01"/>
    <w:rsid w:val="0086312D"/>
    <w:rsid w:val="00871AA5"/>
    <w:rsid w:val="00873675"/>
    <w:rsid w:val="008778FA"/>
    <w:rsid w:val="00880C6C"/>
    <w:rsid w:val="00882467"/>
    <w:rsid w:val="00882D6A"/>
    <w:rsid w:val="008858F1"/>
    <w:rsid w:val="0089452B"/>
    <w:rsid w:val="00894834"/>
    <w:rsid w:val="00896D40"/>
    <w:rsid w:val="00897973"/>
    <w:rsid w:val="00897AC9"/>
    <w:rsid w:val="008A3783"/>
    <w:rsid w:val="008A3F77"/>
    <w:rsid w:val="008B2602"/>
    <w:rsid w:val="008B44C3"/>
    <w:rsid w:val="008B7250"/>
    <w:rsid w:val="008C21A8"/>
    <w:rsid w:val="008C261C"/>
    <w:rsid w:val="008C4BEF"/>
    <w:rsid w:val="008C618F"/>
    <w:rsid w:val="008D0350"/>
    <w:rsid w:val="008D4202"/>
    <w:rsid w:val="008E1FCB"/>
    <w:rsid w:val="008E436C"/>
    <w:rsid w:val="008E7137"/>
    <w:rsid w:val="008E71E3"/>
    <w:rsid w:val="008E7A0B"/>
    <w:rsid w:val="008F27B6"/>
    <w:rsid w:val="009018FF"/>
    <w:rsid w:val="009028CC"/>
    <w:rsid w:val="00902D97"/>
    <w:rsid w:val="00903C41"/>
    <w:rsid w:val="00905D96"/>
    <w:rsid w:val="00905E60"/>
    <w:rsid w:val="00907FC9"/>
    <w:rsid w:val="00911331"/>
    <w:rsid w:val="00911912"/>
    <w:rsid w:val="00912255"/>
    <w:rsid w:val="00922382"/>
    <w:rsid w:val="00923EB0"/>
    <w:rsid w:val="0092432E"/>
    <w:rsid w:val="009267FA"/>
    <w:rsid w:val="00926DAA"/>
    <w:rsid w:val="00936F05"/>
    <w:rsid w:val="00942E6D"/>
    <w:rsid w:val="009510A1"/>
    <w:rsid w:val="0095258A"/>
    <w:rsid w:val="00960ED0"/>
    <w:rsid w:val="0097209B"/>
    <w:rsid w:val="00985FD7"/>
    <w:rsid w:val="00986F44"/>
    <w:rsid w:val="00990EA7"/>
    <w:rsid w:val="009921C0"/>
    <w:rsid w:val="00994A8B"/>
    <w:rsid w:val="009950F9"/>
    <w:rsid w:val="009A3F31"/>
    <w:rsid w:val="009A721A"/>
    <w:rsid w:val="009B260F"/>
    <w:rsid w:val="009B4F1F"/>
    <w:rsid w:val="009B5D52"/>
    <w:rsid w:val="009C0822"/>
    <w:rsid w:val="009C1727"/>
    <w:rsid w:val="009C3D54"/>
    <w:rsid w:val="009D0EB6"/>
    <w:rsid w:val="009D1D2E"/>
    <w:rsid w:val="009D253E"/>
    <w:rsid w:val="009D2F73"/>
    <w:rsid w:val="009D4EB0"/>
    <w:rsid w:val="009E09D6"/>
    <w:rsid w:val="009E0BB6"/>
    <w:rsid w:val="009E2466"/>
    <w:rsid w:val="009F20B8"/>
    <w:rsid w:val="009F267F"/>
    <w:rsid w:val="009F2781"/>
    <w:rsid w:val="009F497B"/>
    <w:rsid w:val="009F6929"/>
    <w:rsid w:val="009F771D"/>
    <w:rsid w:val="00A03175"/>
    <w:rsid w:val="00A049F5"/>
    <w:rsid w:val="00A06896"/>
    <w:rsid w:val="00A06E42"/>
    <w:rsid w:val="00A11232"/>
    <w:rsid w:val="00A1133D"/>
    <w:rsid w:val="00A13CDC"/>
    <w:rsid w:val="00A22745"/>
    <w:rsid w:val="00A22DD8"/>
    <w:rsid w:val="00A31AF4"/>
    <w:rsid w:val="00A32319"/>
    <w:rsid w:val="00A3398D"/>
    <w:rsid w:val="00A37C10"/>
    <w:rsid w:val="00A45253"/>
    <w:rsid w:val="00A471FD"/>
    <w:rsid w:val="00A5008F"/>
    <w:rsid w:val="00A52B5F"/>
    <w:rsid w:val="00A533DA"/>
    <w:rsid w:val="00A563FA"/>
    <w:rsid w:val="00A57FA8"/>
    <w:rsid w:val="00A63A6E"/>
    <w:rsid w:val="00A67BB1"/>
    <w:rsid w:val="00A7555C"/>
    <w:rsid w:val="00A76EE4"/>
    <w:rsid w:val="00A773C5"/>
    <w:rsid w:val="00A80233"/>
    <w:rsid w:val="00A8203F"/>
    <w:rsid w:val="00A8575F"/>
    <w:rsid w:val="00A900C0"/>
    <w:rsid w:val="00A90D7E"/>
    <w:rsid w:val="00A91AF3"/>
    <w:rsid w:val="00A91DE7"/>
    <w:rsid w:val="00AA0AEF"/>
    <w:rsid w:val="00AA164B"/>
    <w:rsid w:val="00AA3405"/>
    <w:rsid w:val="00AA47B4"/>
    <w:rsid w:val="00AA4D09"/>
    <w:rsid w:val="00AB1459"/>
    <w:rsid w:val="00AB1ECF"/>
    <w:rsid w:val="00AB398A"/>
    <w:rsid w:val="00AC6320"/>
    <w:rsid w:val="00AD2394"/>
    <w:rsid w:val="00AD6E2E"/>
    <w:rsid w:val="00AE4F05"/>
    <w:rsid w:val="00AE6D0B"/>
    <w:rsid w:val="00AF3DC0"/>
    <w:rsid w:val="00B000F0"/>
    <w:rsid w:val="00B112C7"/>
    <w:rsid w:val="00B1264F"/>
    <w:rsid w:val="00B1268C"/>
    <w:rsid w:val="00B20A42"/>
    <w:rsid w:val="00B25300"/>
    <w:rsid w:val="00B44F69"/>
    <w:rsid w:val="00B50251"/>
    <w:rsid w:val="00B525F1"/>
    <w:rsid w:val="00B5294A"/>
    <w:rsid w:val="00B535C9"/>
    <w:rsid w:val="00B53B47"/>
    <w:rsid w:val="00B54EA2"/>
    <w:rsid w:val="00B65E9E"/>
    <w:rsid w:val="00B77112"/>
    <w:rsid w:val="00B83BE8"/>
    <w:rsid w:val="00B84422"/>
    <w:rsid w:val="00B86837"/>
    <w:rsid w:val="00B91750"/>
    <w:rsid w:val="00BA0D9B"/>
    <w:rsid w:val="00BA4A21"/>
    <w:rsid w:val="00BA5F38"/>
    <w:rsid w:val="00BA73DF"/>
    <w:rsid w:val="00BA7690"/>
    <w:rsid w:val="00BC06CE"/>
    <w:rsid w:val="00BC31CD"/>
    <w:rsid w:val="00BD39ED"/>
    <w:rsid w:val="00BD4297"/>
    <w:rsid w:val="00BE361C"/>
    <w:rsid w:val="00BE6C5D"/>
    <w:rsid w:val="00BF05EF"/>
    <w:rsid w:val="00BF08F2"/>
    <w:rsid w:val="00BF3BE4"/>
    <w:rsid w:val="00BF4D76"/>
    <w:rsid w:val="00C0132C"/>
    <w:rsid w:val="00C021C6"/>
    <w:rsid w:val="00C0399E"/>
    <w:rsid w:val="00C07A2E"/>
    <w:rsid w:val="00C07C34"/>
    <w:rsid w:val="00C07F5D"/>
    <w:rsid w:val="00C1004E"/>
    <w:rsid w:val="00C17334"/>
    <w:rsid w:val="00C214FD"/>
    <w:rsid w:val="00C21CAB"/>
    <w:rsid w:val="00C25238"/>
    <w:rsid w:val="00C2775E"/>
    <w:rsid w:val="00C4604F"/>
    <w:rsid w:val="00C465A0"/>
    <w:rsid w:val="00C47D43"/>
    <w:rsid w:val="00C47E31"/>
    <w:rsid w:val="00C50100"/>
    <w:rsid w:val="00C518BA"/>
    <w:rsid w:val="00C5596C"/>
    <w:rsid w:val="00C563AC"/>
    <w:rsid w:val="00C57E3C"/>
    <w:rsid w:val="00C63F9D"/>
    <w:rsid w:val="00C66353"/>
    <w:rsid w:val="00C66AD7"/>
    <w:rsid w:val="00C676E6"/>
    <w:rsid w:val="00C67ED2"/>
    <w:rsid w:val="00C74028"/>
    <w:rsid w:val="00C804D6"/>
    <w:rsid w:val="00C82235"/>
    <w:rsid w:val="00C9147F"/>
    <w:rsid w:val="00C94A4F"/>
    <w:rsid w:val="00CA5969"/>
    <w:rsid w:val="00CB15FC"/>
    <w:rsid w:val="00CB3F3B"/>
    <w:rsid w:val="00CB4253"/>
    <w:rsid w:val="00CB5F7E"/>
    <w:rsid w:val="00CB6186"/>
    <w:rsid w:val="00CC25E6"/>
    <w:rsid w:val="00CD2BD1"/>
    <w:rsid w:val="00CD3E1A"/>
    <w:rsid w:val="00CD6E2B"/>
    <w:rsid w:val="00CE0228"/>
    <w:rsid w:val="00CE0951"/>
    <w:rsid w:val="00CF2DB7"/>
    <w:rsid w:val="00CF5ED4"/>
    <w:rsid w:val="00D046E6"/>
    <w:rsid w:val="00D120C9"/>
    <w:rsid w:val="00D13E5B"/>
    <w:rsid w:val="00D14ED1"/>
    <w:rsid w:val="00D222F1"/>
    <w:rsid w:val="00D23303"/>
    <w:rsid w:val="00D23740"/>
    <w:rsid w:val="00D31CBA"/>
    <w:rsid w:val="00D33DB6"/>
    <w:rsid w:val="00D37905"/>
    <w:rsid w:val="00D400F3"/>
    <w:rsid w:val="00D46C36"/>
    <w:rsid w:val="00D47341"/>
    <w:rsid w:val="00D50A1F"/>
    <w:rsid w:val="00D52C67"/>
    <w:rsid w:val="00D5530F"/>
    <w:rsid w:val="00D55591"/>
    <w:rsid w:val="00D577A0"/>
    <w:rsid w:val="00D63C5C"/>
    <w:rsid w:val="00D74219"/>
    <w:rsid w:val="00D76382"/>
    <w:rsid w:val="00D83E87"/>
    <w:rsid w:val="00D9115A"/>
    <w:rsid w:val="00D957F1"/>
    <w:rsid w:val="00D97283"/>
    <w:rsid w:val="00DA4D2E"/>
    <w:rsid w:val="00DB066D"/>
    <w:rsid w:val="00DB10BD"/>
    <w:rsid w:val="00DB459E"/>
    <w:rsid w:val="00DB5D39"/>
    <w:rsid w:val="00DB6EDE"/>
    <w:rsid w:val="00DC03BF"/>
    <w:rsid w:val="00DC05D8"/>
    <w:rsid w:val="00DC1A3C"/>
    <w:rsid w:val="00DC2C9F"/>
    <w:rsid w:val="00DC6621"/>
    <w:rsid w:val="00DD0D2F"/>
    <w:rsid w:val="00DD13C1"/>
    <w:rsid w:val="00DD4B72"/>
    <w:rsid w:val="00DD64D1"/>
    <w:rsid w:val="00DE1ABD"/>
    <w:rsid w:val="00DE1CF3"/>
    <w:rsid w:val="00DE4EBE"/>
    <w:rsid w:val="00DF4005"/>
    <w:rsid w:val="00DF44C6"/>
    <w:rsid w:val="00DF47AF"/>
    <w:rsid w:val="00E00A7F"/>
    <w:rsid w:val="00E016D6"/>
    <w:rsid w:val="00E02152"/>
    <w:rsid w:val="00E06491"/>
    <w:rsid w:val="00E07DAD"/>
    <w:rsid w:val="00E11E24"/>
    <w:rsid w:val="00E2367C"/>
    <w:rsid w:val="00E24FDE"/>
    <w:rsid w:val="00E309D5"/>
    <w:rsid w:val="00E40640"/>
    <w:rsid w:val="00E4137A"/>
    <w:rsid w:val="00E42182"/>
    <w:rsid w:val="00E4239F"/>
    <w:rsid w:val="00E430FC"/>
    <w:rsid w:val="00E440F2"/>
    <w:rsid w:val="00E44A9B"/>
    <w:rsid w:val="00E5162A"/>
    <w:rsid w:val="00E604EE"/>
    <w:rsid w:val="00E6633E"/>
    <w:rsid w:val="00E67CA3"/>
    <w:rsid w:val="00E74D36"/>
    <w:rsid w:val="00E74F0F"/>
    <w:rsid w:val="00E77EE1"/>
    <w:rsid w:val="00E853FA"/>
    <w:rsid w:val="00E928A5"/>
    <w:rsid w:val="00E973E4"/>
    <w:rsid w:val="00EA1939"/>
    <w:rsid w:val="00EA2976"/>
    <w:rsid w:val="00EB361A"/>
    <w:rsid w:val="00EB47B6"/>
    <w:rsid w:val="00EB7BB8"/>
    <w:rsid w:val="00EC1D8A"/>
    <w:rsid w:val="00EC28E6"/>
    <w:rsid w:val="00EC6150"/>
    <w:rsid w:val="00ED2C65"/>
    <w:rsid w:val="00ED3010"/>
    <w:rsid w:val="00EE3364"/>
    <w:rsid w:val="00EE4DD3"/>
    <w:rsid w:val="00EE5EA7"/>
    <w:rsid w:val="00EE65C1"/>
    <w:rsid w:val="00EE6D28"/>
    <w:rsid w:val="00EF4B02"/>
    <w:rsid w:val="00EF7162"/>
    <w:rsid w:val="00F00A61"/>
    <w:rsid w:val="00F109A6"/>
    <w:rsid w:val="00F17CBC"/>
    <w:rsid w:val="00F26631"/>
    <w:rsid w:val="00F27B07"/>
    <w:rsid w:val="00F3058A"/>
    <w:rsid w:val="00F3200A"/>
    <w:rsid w:val="00F355CC"/>
    <w:rsid w:val="00F36A41"/>
    <w:rsid w:val="00F43C47"/>
    <w:rsid w:val="00F45666"/>
    <w:rsid w:val="00F50F01"/>
    <w:rsid w:val="00F53082"/>
    <w:rsid w:val="00F77F16"/>
    <w:rsid w:val="00F82302"/>
    <w:rsid w:val="00F84260"/>
    <w:rsid w:val="00F86463"/>
    <w:rsid w:val="00F92EA1"/>
    <w:rsid w:val="00F94B61"/>
    <w:rsid w:val="00F96904"/>
    <w:rsid w:val="00FA2077"/>
    <w:rsid w:val="00FA2340"/>
    <w:rsid w:val="00FA77D5"/>
    <w:rsid w:val="00FB0896"/>
    <w:rsid w:val="00FB2C11"/>
    <w:rsid w:val="00FB433E"/>
    <w:rsid w:val="00FB6BFD"/>
    <w:rsid w:val="00FC116B"/>
    <w:rsid w:val="00FD013E"/>
    <w:rsid w:val="00FD24F9"/>
    <w:rsid w:val="00FD4B6B"/>
    <w:rsid w:val="00FD72EB"/>
    <w:rsid w:val="00FE3097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17B6B"/>
  <w15:docId w15:val="{8E9E1AB9-639D-464D-BAEB-2DEEED54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807"/>
    <w:rPr>
      <w:sz w:val="24"/>
      <w:lang w:val="en-US"/>
    </w:rPr>
  </w:style>
  <w:style w:type="paragraph" w:styleId="Heading1">
    <w:name w:val="heading 1"/>
    <w:basedOn w:val="Normal"/>
    <w:next w:val="Normal"/>
    <w:qFormat/>
    <w:rsid w:val="003F262B"/>
    <w:pPr>
      <w:keepNext/>
      <w:ind w:right="15"/>
      <w:outlineLvl w:val="0"/>
    </w:pPr>
    <w:rPr>
      <w:rFonts w:ascii="CRO_Korinna-Normal" w:hAnsi="CRO_Korinna-Norm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A5969"/>
    <w:pPr>
      <w:spacing w:before="100" w:beforeAutospacing="1" w:after="100" w:afterAutospacing="1"/>
    </w:pPr>
    <w:rPr>
      <w:szCs w:val="24"/>
      <w:lang w:val="hr-HR"/>
    </w:rPr>
  </w:style>
  <w:style w:type="paragraph" w:styleId="ListParagraph">
    <w:name w:val="List Paragraph"/>
    <w:basedOn w:val="Normal"/>
    <w:uiPriority w:val="34"/>
    <w:qFormat/>
    <w:rsid w:val="003929E3"/>
    <w:pPr>
      <w:ind w:left="720"/>
      <w:contextualSpacing/>
    </w:pPr>
  </w:style>
  <w:style w:type="table" w:styleId="TableGrid">
    <w:name w:val="Table Grid"/>
    <w:basedOn w:val="TableNormal"/>
    <w:uiPriority w:val="59"/>
    <w:rsid w:val="00826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6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7F4"/>
    <w:rPr>
      <w:rFonts w:ascii="Tahoma" w:hAnsi="Tahoma" w:cs="Tahoma"/>
      <w:sz w:val="16"/>
      <w:szCs w:val="16"/>
      <w:lang w:val="en-US"/>
    </w:rPr>
  </w:style>
  <w:style w:type="character" w:customStyle="1" w:styleId="NoSpacingChar">
    <w:name w:val="No Spacing Char"/>
    <w:link w:val="NoSpacing"/>
    <w:uiPriority w:val="1"/>
    <w:locked/>
    <w:rsid w:val="002F14DA"/>
    <w:rPr>
      <w:rFonts w:ascii="Calibri" w:hAnsi="Calibri" w:cs="Calibri"/>
    </w:rPr>
  </w:style>
  <w:style w:type="paragraph" w:styleId="NoSpacing">
    <w:name w:val="No Spacing"/>
    <w:link w:val="NoSpacingChar"/>
    <w:uiPriority w:val="1"/>
    <w:qFormat/>
    <w:rsid w:val="002F14DA"/>
    <w:rPr>
      <w:rFonts w:ascii="Calibri" w:hAnsi="Calibri" w:cs="Calibri"/>
    </w:rPr>
  </w:style>
  <w:style w:type="paragraph" w:customStyle="1" w:styleId="Standard">
    <w:name w:val="Standard"/>
    <w:rsid w:val="00DB066D"/>
    <w:pPr>
      <w:suppressAutoHyphens/>
      <w:autoSpaceDN w:val="0"/>
      <w:textAlignment w:val="baseline"/>
    </w:pPr>
    <w:rPr>
      <w:kern w:val="3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37F54-431A-4455-ADEF-4724FB7F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2643</Words>
  <Characters>15069</Characters>
  <Application>Microsoft Office Word</Application>
  <DocSecurity>0</DocSecurity>
  <Lines>125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Dubr.-neretvanska županija</Company>
  <LinksUpToDate>false</LinksUpToDate>
  <CharactersWithSpaces>17677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DNZ</dc:creator>
  <cp:lastModifiedBy>MARIJA</cp:lastModifiedBy>
  <cp:revision>8</cp:revision>
  <cp:lastPrinted>2024-06-11T11:32:00Z</cp:lastPrinted>
  <dcterms:created xsi:type="dcterms:W3CDTF">2024-11-20T10:35:00Z</dcterms:created>
  <dcterms:modified xsi:type="dcterms:W3CDTF">2024-11-29T13:48:00Z</dcterms:modified>
</cp:coreProperties>
</file>